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C5E" w:rsidRDefault="00536C5E" w:rsidP="00536C5E">
      <w:pPr>
        <w:bidi/>
        <w:jc w:val="center"/>
        <w:rPr>
          <w:rFonts w:cs="DecoType Naskh Special"/>
          <w:sz w:val="72"/>
          <w:szCs w:val="72"/>
        </w:rPr>
      </w:pPr>
    </w:p>
    <w:p w:rsidR="00536C5E" w:rsidRDefault="00536C5E" w:rsidP="009C5915">
      <w:pPr>
        <w:bidi/>
        <w:jc w:val="center"/>
        <w:rPr>
          <w:rFonts w:cs="DecoType Naskh Special"/>
          <w:sz w:val="48"/>
          <w:szCs w:val="48"/>
        </w:rPr>
      </w:pPr>
      <w:r w:rsidRPr="00087517">
        <w:rPr>
          <w:rFonts w:cs="DecoType Naskh Special" w:hint="cs"/>
          <w:sz w:val="72"/>
          <w:szCs w:val="72"/>
          <w:rtl/>
        </w:rPr>
        <w:t xml:space="preserve">الخطب المنبرية في </w:t>
      </w:r>
      <w:r w:rsidR="009C5915">
        <w:rPr>
          <w:rFonts w:cs="DecoType Naskh Special" w:hint="cs"/>
          <w:sz w:val="72"/>
          <w:szCs w:val="72"/>
          <w:rtl/>
        </w:rPr>
        <w:t>بلاد الهوسا</w:t>
      </w:r>
      <w:r>
        <w:rPr>
          <w:rFonts w:cs="DecoType Naskh Special" w:hint="cs"/>
          <w:sz w:val="52"/>
          <w:szCs w:val="52"/>
          <w:rtl/>
        </w:rPr>
        <w:t xml:space="preserve"> </w:t>
      </w:r>
      <w:r w:rsidRPr="00087517">
        <w:rPr>
          <w:rFonts w:cs="DecoType Naskh Special" w:hint="cs"/>
          <w:sz w:val="48"/>
          <w:szCs w:val="48"/>
          <w:rtl/>
        </w:rPr>
        <w:t>بين الواقع والمأمول</w:t>
      </w:r>
    </w:p>
    <w:p w:rsidR="00536C5E" w:rsidRPr="009C5915" w:rsidRDefault="00536C5E" w:rsidP="00536C5E">
      <w:pPr>
        <w:bidi/>
        <w:jc w:val="center"/>
        <w:rPr>
          <w:rFonts w:cs="DecoType Naskh Special"/>
          <w:sz w:val="48"/>
          <w:szCs w:val="48"/>
        </w:rPr>
      </w:pPr>
    </w:p>
    <w:p w:rsidR="00536C5E" w:rsidRDefault="00536C5E" w:rsidP="00536C5E">
      <w:pPr>
        <w:bidi/>
        <w:jc w:val="center"/>
        <w:rPr>
          <w:rFonts w:cs="DecoType Naskh Special"/>
          <w:sz w:val="48"/>
          <w:szCs w:val="48"/>
        </w:rPr>
      </w:pPr>
    </w:p>
    <w:p w:rsidR="00536C5E" w:rsidRDefault="00536C5E" w:rsidP="00536C5E">
      <w:pPr>
        <w:bidi/>
        <w:jc w:val="center"/>
        <w:rPr>
          <w:rFonts w:cs="DecoType Naskh Special"/>
          <w:sz w:val="48"/>
          <w:szCs w:val="48"/>
        </w:rPr>
      </w:pPr>
    </w:p>
    <w:p w:rsidR="00536C5E" w:rsidRDefault="00536C5E" w:rsidP="00536C5E">
      <w:pPr>
        <w:bidi/>
        <w:jc w:val="center"/>
        <w:rPr>
          <w:rFonts w:cs="DecoType Naskh Special"/>
          <w:sz w:val="48"/>
          <w:szCs w:val="48"/>
        </w:rPr>
      </w:pPr>
    </w:p>
    <w:p w:rsidR="00536C5E" w:rsidRPr="00536C5E" w:rsidRDefault="00536C5E" w:rsidP="001D2150">
      <w:pPr>
        <w:bidi/>
        <w:jc w:val="center"/>
        <w:rPr>
          <w:rFonts w:cs="DecoType Naskh Special"/>
          <w:sz w:val="36"/>
          <w:szCs w:val="36"/>
        </w:rPr>
      </w:pPr>
      <w:r w:rsidRPr="00536C5E">
        <w:rPr>
          <w:rFonts w:cs="DecoType Naskh Special" w:hint="cs"/>
          <w:sz w:val="36"/>
          <w:szCs w:val="36"/>
          <w:rtl/>
        </w:rPr>
        <w:t>ورقة مقدمة</w:t>
      </w:r>
      <w:r>
        <w:rPr>
          <w:rFonts w:cs="DecoType Naskh Special" w:hint="cs"/>
          <w:sz w:val="36"/>
          <w:szCs w:val="36"/>
          <w:rtl/>
        </w:rPr>
        <w:t xml:space="preserve"> في المؤتمر العالمي الذي يقيمه قسم الدراسات الإسلامية والشريعة ومركز البحوث والدراسات القرآنية، بجامعة بايرو كنو</w:t>
      </w:r>
      <w:r w:rsidR="001D2150">
        <w:rPr>
          <w:rFonts w:cs="DecoType Naskh Special" w:hint="cs"/>
          <w:sz w:val="36"/>
          <w:szCs w:val="36"/>
          <w:rtl/>
        </w:rPr>
        <w:t xml:space="preserve"> تكريماً للأستاذ الدكتور محمد ثاني زهر الدين (الإمام الأكبر لجامع مدينة كنو)</w:t>
      </w:r>
    </w:p>
    <w:p w:rsidR="00536C5E" w:rsidRDefault="00536C5E" w:rsidP="00536C5E">
      <w:pPr>
        <w:bidi/>
        <w:jc w:val="center"/>
        <w:rPr>
          <w:rFonts w:cs="DecoType Naskh Special" w:hint="cs"/>
          <w:sz w:val="48"/>
          <w:szCs w:val="48"/>
          <w:rtl/>
        </w:rPr>
      </w:pPr>
    </w:p>
    <w:p w:rsidR="001D2150" w:rsidRPr="001D2150" w:rsidRDefault="001D2150" w:rsidP="001D2150">
      <w:pPr>
        <w:bidi/>
        <w:jc w:val="center"/>
        <w:rPr>
          <w:rFonts w:cs="DecoType Naskh Special"/>
          <w:sz w:val="48"/>
          <w:szCs w:val="48"/>
        </w:rPr>
      </w:pPr>
    </w:p>
    <w:p w:rsidR="00536C5E" w:rsidRDefault="00536C5E" w:rsidP="00536C5E">
      <w:pPr>
        <w:bidi/>
        <w:jc w:val="center"/>
        <w:rPr>
          <w:rFonts w:cs="DecoType Naskh Special"/>
          <w:sz w:val="48"/>
          <w:szCs w:val="48"/>
        </w:rPr>
      </w:pPr>
    </w:p>
    <w:p w:rsidR="00536C5E" w:rsidRPr="00087517" w:rsidRDefault="00536C5E" w:rsidP="00536C5E">
      <w:pPr>
        <w:bidi/>
        <w:jc w:val="center"/>
        <w:rPr>
          <w:rFonts w:cs="DecoType Naskh Special" w:hint="cs"/>
          <w:sz w:val="36"/>
          <w:szCs w:val="36"/>
          <w:rtl/>
        </w:rPr>
      </w:pPr>
      <w:r w:rsidRPr="00087517">
        <w:rPr>
          <w:rFonts w:cs="DecoType Naskh Special" w:hint="cs"/>
          <w:sz w:val="36"/>
          <w:szCs w:val="36"/>
          <w:rtl/>
        </w:rPr>
        <w:t>إعداد</w:t>
      </w:r>
    </w:p>
    <w:p w:rsidR="00536C5E" w:rsidRPr="00087517" w:rsidRDefault="00536C5E" w:rsidP="00536C5E">
      <w:pPr>
        <w:bidi/>
        <w:jc w:val="center"/>
        <w:rPr>
          <w:rFonts w:cs="DecoType Naskh Special" w:hint="cs"/>
          <w:b/>
          <w:bCs/>
          <w:sz w:val="36"/>
          <w:szCs w:val="36"/>
          <w:rtl/>
        </w:rPr>
      </w:pPr>
      <w:r w:rsidRPr="00087517">
        <w:rPr>
          <w:rFonts w:cs="DecoType Naskh Special" w:hint="cs"/>
          <w:b/>
          <w:bCs/>
          <w:sz w:val="36"/>
          <w:szCs w:val="36"/>
          <w:rtl/>
        </w:rPr>
        <w:t>شعيب مختار شعيب الدُّورِي</w:t>
      </w:r>
    </w:p>
    <w:p w:rsidR="00536C5E" w:rsidRPr="00087517" w:rsidRDefault="00536C5E" w:rsidP="00536C5E">
      <w:pPr>
        <w:bidi/>
        <w:jc w:val="center"/>
        <w:rPr>
          <w:rFonts w:cs="DecoType Naskh Special" w:hint="cs"/>
          <w:sz w:val="52"/>
          <w:szCs w:val="52"/>
          <w:rtl/>
        </w:rPr>
      </w:pPr>
      <w:r>
        <w:rPr>
          <w:rFonts w:cs="DecoType Naskh Special" w:hint="cs"/>
          <w:sz w:val="36"/>
          <w:szCs w:val="36"/>
          <w:rtl/>
        </w:rPr>
        <w:t>مركز البحوث والدارسات القرآنية، جامعة بايرو، كنو</w:t>
      </w:r>
    </w:p>
    <w:p w:rsidR="00536C5E" w:rsidRDefault="00536C5E" w:rsidP="003B4B80">
      <w:pPr>
        <w:autoSpaceDE w:val="0"/>
        <w:autoSpaceDN w:val="0"/>
        <w:bidi/>
        <w:adjustRightInd w:val="0"/>
        <w:spacing w:after="240"/>
        <w:jc w:val="center"/>
        <w:rPr>
          <w:rFonts w:ascii="Traditional Arabic" w:hAnsi="Traditional Arabic" w:cs="Traditional Arabic"/>
          <w:b/>
          <w:bCs/>
          <w:sz w:val="36"/>
          <w:szCs w:val="36"/>
        </w:rPr>
      </w:pPr>
    </w:p>
    <w:p w:rsidR="00536C5E" w:rsidRDefault="00536C5E" w:rsidP="00536C5E">
      <w:pPr>
        <w:autoSpaceDE w:val="0"/>
        <w:autoSpaceDN w:val="0"/>
        <w:bidi/>
        <w:adjustRightInd w:val="0"/>
        <w:spacing w:after="240"/>
        <w:jc w:val="cente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2015م</w:t>
      </w:r>
    </w:p>
    <w:p w:rsidR="00C34422" w:rsidRDefault="00C34422" w:rsidP="00536C5E">
      <w:pPr>
        <w:autoSpaceDE w:val="0"/>
        <w:autoSpaceDN w:val="0"/>
        <w:bidi/>
        <w:adjustRightInd w:val="0"/>
        <w:spacing w:after="240"/>
        <w:jc w:val="cente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lastRenderedPageBreak/>
        <w:t>ملخص البحث</w:t>
      </w:r>
    </w:p>
    <w:p w:rsidR="00C34422" w:rsidRPr="00C34422" w:rsidRDefault="00C34422" w:rsidP="00DA4E92">
      <w:pPr>
        <w:autoSpaceDE w:val="0"/>
        <w:autoSpaceDN w:val="0"/>
        <w:bidi/>
        <w:adjustRightInd w:val="0"/>
        <w:spacing w:after="240"/>
        <w:jc w:val="both"/>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إن هذه الورقة عبارة عن الدعوة بصوت عالٍ إلى تطوير واقع الخطبة في شمالي نيجيريا من حيث تحريرها من بعض القيود والأغلال التي وقفت حاجزاً منيعاً دون تحقيق أهدافها العليا التي هي إحداث التأثير الإيجابي </w:t>
      </w:r>
      <w:r w:rsidR="00DA4E92">
        <w:rPr>
          <w:rFonts w:ascii="Traditional Arabic" w:hAnsi="Traditional Arabic" w:cs="Traditional Arabic" w:hint="cs"/>
          <w:sz w:val="36"/>
          <w:szCs w:val="36"/>
          <w:rtl/>
        </w:rPr>
        <w:t xml:space="preserve">في المستمعين، وهو أمر يظل بعيدَ المنال إن بقيت الخطبة على حالتِها الراهنة من إلقائها بالعربية، وهي، على قداستِها، لا تلبِّي ذلك المطلب الدينيَّ، لأن معظم المسلمين في هذه البلاد لا يعرفونها معرفة تمكِّنهم من التواصل بها دون وسيط محلي. وسوف يصوِّر الباحث واقع الخطبة في البلاد ثم يشفِّع ذلك باقتراح بعض الآليات التي تساهم في الحدِّ من تدهوره. </w:t>
      </w:r>
    </w:p>
    <w:p w:rsidR="00DA4E92" w:rsidRDefault="00DA4E92" w:rsidP="00C34422">
      <w:pPr>
        <w:autoSpaceDE w:val="0"/>
        <w:autoSpaceDN w:val="0"/>
        <w:bidi/>
        <w:adjustRightInd w:val="0"/>
        <w:spacing w:after="240"/>
        <w:jc w:val="center"/>
        <w:rPr>
          <w:rFonts w:ascii="Traditional Arabic" w:hAnsi="Traditional Arabic" w:cs="Traditional Arabic" w:hint="cs"/>
          <w:b/>
          <w:bCs/>
          <w:sz w:val="36"/>
          <w:szCs w:val="36"/>
          <w:rtl/>
        </w:rPr>
      </w:pPr>
    </w:p>
    <w:p w:rsidR="00DA4E92" w:rsidRDefault="00DA4E92" w:rsidP="00DA4E92">
      <w:pPr>
        <w:autoSpaceDE w:val="0"/>
        <w:autoSpaceDN w:val="0"/>
        <w:bidi/>
        <w:adjustRightInd w:val="0"/>
        <w:spacing w:after="240"/>
        <w:jc w:val="center"/>
        <w:rPr>
          <w:rFonts w:ascii="Traditional Arabic" w:hAnsi="Traditional Arabic" w:cs="Traditional Arabic" w:hint="cs"/>
          <w:b/>
          <w:bCs/>
          <w:sz w:val="36"/>
          <w:szCs w:val="36"/>
          <w:rtl/>
        </w:rPr>
      </w:pPr>
    </w:p>
    <w:p w:rsidR="00DA4E92" w:rsidRDefault="00DA4E92" w:rsidP="00DA4E92">
      <w:pPr>
        <w:autoSpaceDE w:val="0"/>
        <w:autoSpaceDN w:val="0"/>
        <w:bidi/>
        <w:adjustRightInd w:val="0"/>
        <w:spacing w:after="240"/>
        <w:jc w:val="center"/>
        <w:rPr>
          <w:rFonts w:ascii="Traditional Arabic" w:hAnsi="Traditional Arabic" w:cs="Traditional Arabic" w:hint="cs"/>
          <w:b/>
          <w:bCs/>
          <w:sz w:val="36"/>
          <w:szCs w:val="36"/>
          <w:rtl/>
        </w:rPr>
      </w:pPr>
    </w:p>
    <w:p w:rsidR="00DA4E92" w:rsidRDefault="00DA4E92" w:rsidP="00DA4E92">
      <w:pPr>
        <w:autoSpaceDE w:val="0"/>
        <w:autoSpaceDN w:val="0"/>
        <w:bidi/>
        <w:adjustRightInd w:val="0"/>
        <w:spacing w:after="240"/>
        <w:jc w:val="center"/>
        <w:rPr>
          <w:rFonts w:ascii="Traditional Arabic" w:hAnsi="Traditional Arabic" w:cs="Traditional Arabic" w:hint="cs"/>
          <w:b/>
          <w:bCs/>
          <w:sz w:val="36"/>
          <w:szCs w:val="36"/>
          <w:rtl/>
        </w:rPr>
      </w:pPr>
    </w:p>
    <w:p w:rsidR="00DA4E92" w:rsidRDefault="00DA4E92" w:rsidP="00DA4E92">
      <w:pPr>
        <w:autoSpaceDE w:val="0"/>
        <w:autoSpaceDN w:val="0"/>
        <w:bidi/>
        <w:adjustRightInd w:val="0"/>
        <w:spacing w:after="240"/>
        <w:jc w:val="center"/>
        <w:rPr>
          <w:rFonts w:ascii="Traditional Arabic" w:hAnsi="Traditional Arabic" w:cs="Traditional Arabic" w:hint="cs"/>
          <w:b/>
          <w:bCs/>
          <w:sz w:val="36"/>
          <w:szCs w:val="36"/>
          <w:rtl/>
        </w:rPr>
      </w:pPr>
    </w:p>
    <w:p w:rsidR="00DA4E92" w:rsidRDefault="00DA4E92" w:rsidP="00DA4E92">
      <w:pPr>
        <w:autoSpaceDE w:val="0"/>
        <w:autoSpaceDN w:val="0"/>
        <w:bidi/>
        <w:adjustRightInd w:val="0"/>
        <w:spacing w:after="240"/>
        <w:jc w:val="center"/>
        <w:rPr>
          <w:rFonts w:ascii="Traditional Arabic" w:hAnsi="Traditional Arabic" w:cs="Traditional Arabic" w:hint="cs"/>
          <w:b/>
          <w:bCs/>
          <w:sz w:val="36"/>
          <w:szCs w:val="36"/>
          <w:rtl/>
        </w:rPr>
      </w:pPr>
    </w:p>
    <w:p w:rsidR="00DA4E92" w:rsidRDefault="00DA4E92" w:rsidP="00DA4E92">
      <w:pPr>
        <w:autoSpaceDE w:val="0"/>
        <w:autoSpaceDN w:val="0"/>
        <w:bidi/>
        <w:adjustRightInd w:val="0"/>
        <w:spacing w:after="240"/>
        <w:jc w:val="center"/>
        <w:rPr>
          <w:rFonts w:ascii="Traditional Arabic" w:hAnsi="Traditional Arabic" w:cs="Traditional Arabic" w:hint="cs"/>
          <w:b/>
          <w:bCs/>
          <w:sz w:val="36"/>
          <w:szCs w:val="36"/>
          <w:rtl/>
        </w:rPr>
      </w:pPr>
    </w:p>
    <w:p w:rsidR="00DA4E92" w:rsidRDefault="00DA4E92" w:rsidP="00DA4E92">
      <w:pPr>
        <w:autoSpaceDE w:val="0"/>
        <w:autoSpaceDN w:val="0"/>
        <w:bidi/>
        <w:adjustRightInd w:val="0"/>
        <w:spacing w:after="240"/>
        <w:jc w:val="center"/>
        <w:rPr>
          <w:rFonts w:ascii="Traditional Arabic" w:hAnsi="Traditional Arabic" w:cs="Traditional Arabic" w:hint="cs"/>
          <w:b/>
          <w:bCs/>
          <w:sz w:val="36"/>
          <w:szCs w:val="36"/>
          <w:rtl/>
        </w:rPr>
      </w:pPr>
    </w:p>
    <w:p w:rsidR="00DA4E92" w:rsidRDefault="00DA4E92" w:rsidP="00DA4E92">
      <w:pPr>
        <w:autoSpaceDE w:val="0"/>
        <w:autoSpaceDN w:val="0"/>
        <w:bidi/>
        <w:adjustRightInd w:val="0"/>
        <w:spacing w:after="240"/>
        <w:jc w:val="center"/>
        <w:rPr>
          <w:rFonts w:ascii="Traditional Arabic" w:hAnsi="Traditional Arabic" w:cs="Traditional Arabic" w:hint="cs"/>
          <w:b/>
          <w:bCs/>
          <w:sz w:val="36"/>
          <w:szCs w:val="36"/>
          <w:rtl/>
        </w:rPr>
      </w:pPr>
    </w:p>
    <w:p w:rsidR="00DA4E92" w:rsidRDefault="00DA4E92" w:rsidP="00DA4E92">
      <w:pPr>
        <w:autoSpaceDE w:val="0"/>
        <w:autoSpaceDN w:val="0"/>
        <w:bidi/>
        <w:adjustRightInd w:val="0"/>
        <w:spacing w:after="240"/>
        <w:jc w:val="center"/>
        <w:rPr>
          <w:rFonts w:ascii="Traditional Arabic" w:hAnsi="Traditional Arabic" w:cs="Traditional Arabic" w:hint="cs"/>
          <w:b/>
          <w:bCs/>
          <w:sz w:val="36"/>
          <w:szCs w:val="36"/>
          <w:rtl/>
        </w:rPr>
      </w:pPr>
    </w:p>
    <w:p w:rsidR="003B4B80" w:rsidRPr="003B4B80" w:rsidRDefault="003B4B80" w:rsidP="00DA4E92">
      <w:pPr>
        <w:autoSpaceDE w:val="0"/>
        <w:autoSpaceDN w:val="0"/>
        <w:bidi/>
        <w:adjustRightInd w:val="0"/>
        <w:spacing w:after="240"/>
        <w:jc w:val="center"/>
        <w:rPr>
          <w:rFonts w:ascii="Traditional Arabic" w:hAnsi="Traditional Arabic" w:cs="Traditional Arabic"/>
          <w:b/>
          <w:bCs/>
          <w:sz w:val="36"/>
          <w:szCs w:val="36"/>
          <w:rtl/>
        </w:rPr>
      </w:pPr>
      <w:r w:rsidRPr="003B4B80">
        <w:rPr>
          <w:rFonts w:ascii="Traditional Arabic" w:hAnsi="Traditional Arabic" w:cs="Traditional Arabic"/>
          <w:b/>
          <w:bCs/>
          <w:sz w:val="36"/>
          <w:szCs w:val="36"/>
          <w:rtl/>
        </w:rPr>
        <w:lastRenderedPageBreak/>
        <w:t>بسم الله الرحمن الرحيم</w:t>
      </w:r>
    </w:p>
    <w:p w:rsidR="003B4B80" w:rsidRPr="003B4B80" w:rsidRDefault="003B4B80" w:rsidP="004F5595">
      <w:pPr>
        <w:autoSpaceDE w:val="0"/>
        <w:autoSpaceDN w:val="0"/>
        <w:bidi/>
        <w:adjustRightInd w:val="0"/>
        <w:spacing w:after="240"/>
        <w:rPr>
          <w:rFonts w:ascii="Traditional Arabic" w:hAnsi="Traditional Arabic" w:cs="Traditional Arabic"/>
          <w:b/>
          <w:bCs/>
          <w:sz w:val="36"/>
          <w:szCs w:val="36"/>
          <w:rtl/>
        </w:rPr>
      </w:pPr>
      <w:r w:rsidRPr="003B4B80">
        <w:rPr>
          <w:rFonts w:ascii="Traditional Arabic" w:hAnsi="Traditional Arabic" w:cs="Traditional Arabic"/>
          <w:b/>
          <w:bCs/>
          <w:sz w:val="36"/>
          <w:szCs w:val="36"/>
          <w:rtl/>
        </w:rPr>
        <w:t>مقدمة</w:t>
      </w:r>
      <w:r w:rsidR="00C34422">
        <w:rPr>
          <w:rFonts w:ascii="Traditional Arabic" w:hAnsi="Traditional Arabic" w:cs="Traditional Arabic" w:hint="cs"/>
          <w:b/>
          <w:bCs/>
          <w:sz w:val="36"/>
          <w:szCs w:val="36"/>
          <w:rtl/>
        </w:rPr>
        <w:t>:</w:t>
      </w:r>
    </w:p>
    <w:p w:rsidR="003B4B80" w:rsidRPr="003B4B80" w:rsidRDefault="003B4B80" w:rsidP="003B4B80">
      <w:pPr>
        <w:autoSpaceDE w:val="0"/>
        <w:autoSpaceDN w:val="0"/>
        <w:bidi/>
        <w:adjustRightInd w:val="0"/>
        <w:spacing w:after="240"/>
        <w:jc w:val="both"/>
        <w:rPr>
          <w:rFonts w:ascii="Traditional Arabic" w:hAnsi="Traditional Arabic" w:cs="Traditional Arabic"/>
          <w:sz w:val="36"/>
          <w:szCs w:val="36"/>
          <w:rtl/>
        </w:rPr>
      </w:pPr>
      <w:r w:rsidRPr="003B4B80">
        <w:rPr>
          <w:rFonts w:ascii="Traditional Arabic" w:hAnsi="Traditional Arabic" w:cs="Traditional Arabic"/>
          <w:sz w:val="36"/>
          <w:szCs w:val="36"/>
          <w:rtl/>
        </w:rPr>
        <w:t>الحمد لله القائل:</w:t>
      </w:r>
      <w:r w:rsidRPr="00087517">
        <w:rPr>
          <w:rFonts w:ascii="Traditional Arabic" w:cs="DecoType Naskh Special" w:hint="cs"/>
          <w:sz w:val="36"/>
          <w:szCs w:val="36"/>
          <w:rtl/>
        </w:rPr>
        <w:t xml:space="preserve"> </w:t>
      </w:r>
      <w:r w:rsidRPr="003B4B80">
        <w:rPr>
          <w:rFonts w:ascii="QCF_BSML" w:hAnsi="QCF_BSML" w:cs="QCF_BSML"/>
          <w:sz w:val="28"/>
          <w:szCs w:val="28"/>
          <w:rtl/>
        </w:rPr>
        <w:t>ﭽ</w:t>
      </w:r>
      <w:r w:rsidRPr="003B4B80">
        <w:rPr>
          <w:rFonts w:ascii="QCF_P255" w:hAnsi="QCF_P255" w:cs="QCF_P255"/>
          <w:sz w:val="28"/>
          <w:szCs w:val="28"/>
          <w:rtl/>
        </w:rPr>
        <w:t>ﮖ  ﮗ   ﮘ  ﮙ  ﮚ  ﮛ  ﮜ  ﮝ  ﮞ</w:t>
      </w:r>
      <w:r w:rsidRPr="003B4B80">
        <w:rPr>
          <w:rFonts w:ascii="QCF_BSML" w:hAnsi="QCF_BSML" w:cs="QCF_BSML"/>
          <w:sz w:val="28"/>
          <w:szCs w:val="28"/>
          <w:rtl/>
        </w:rPr>
        <w:t>ﭼ</w:t>
      </w:r>
      <w:r w:rsidRPr="00087517">
        <w:rPr>
          <w:rFonts w:ascii="Arial" w:hAnsi="Arial" w:cs="Arial"/>
          <w:sz w:val="32"/>
          <w:szCs w:val="32"/>
          <w:rtl/>
        </w:rPr>
        <w:t xml:space="preserve"> </w:t>
      </w:r>
      <w:r w:rsidRPr="003B4B80">
        <w:rPr>
          <w:rFonts w:asciiTheme="minorBidi" w:hAnsiTheme="minorBidi" w:cstheme="minorBidi"/>
          <w:sz w:val="28"/>
          <w:szCs w:val="28"/>
          <w:rtl/>
        </w:rPr>
        <w:t>[إبراهيم: ٤]</w:t>
      </w:r>
      <w:r w:rsidRPr="003B4B80">
        <w:rPr>
          <w:rFonts w:ascii="Traditional Arabic" w:hAnsi="Traditional Arabic" w:cs="Traditional Arabic"/>
          <w:sz w:val="36"/>
          <w:szCs w:val="36"/>
          <w:rtl/>
        </w:rPr>
        <w:t>،</w:t>
      </w:r>
      <w:r w:rsidRPr="00087517">
        <w:rPr>
          <w:rFonts w:ascii="Arial" w:hAnsi="Arial" w:cs="DecoType Naskh Special" w:hint="cs"/>
          <w:sz w:val="36"/>
          <w:szCs w:val="36"/>
          <w:rtl/>
        </w:rPr>
        <w:t xml:space="preserve"> </w:t>
      </w:r>
      <w:r w:rsidRPr="003B4B80">
        <w:rPr>
          <w:rFonts w:ascii="Traditional Arabic" w:hAnsi="Traditional Arabic" w:cs="Traditional Arabic"/>
          <w:sz w:val="36"/>
          <w:szCs w:val="36"/>
          <w:rtl/>
        </w:rPr>
        <w:t>والصلاة والسلام على نبينا القائل: "أنا أفصح العرب،</w:t>
      </w:r>
      <w:r>
        <w:rPr>
          <w:rFonts w:ascii="Traditional Arabic" w:hAnsi="Traditional Arabic" w:cs="Traditional Arabic" w:hint="cs"/>
          <w:sz w:val="36"/>
          <w:szCs w:val="36"/>
          <w:rtl/>
        </w:rPr>
        <w:t xml:space="preserve"> </w:t>
      </w:r>
      <w:r w:rsidRPr="003B4B80">
        <w:rPr>
          <w:rFonts w:ascii="Traditional Arabic" w:hAnsi="Traditional Arabic" w:cs="Traditional Arabic"/>
          <w:sz w:val="36"/>
          <w:szCs w:val="36"/>
          <w:rtl/>
        </w:rPr>
        <w:t>بيد أني من قريش"، وعلى آله وصحبه</w:t>
      </w:r>
      <w:r>
        <w:rPr>
          <w:rFonts w:ascii="Traditional Arabic" w:hAnsi="Traditional Arabic" w:cs="Traditional Arabic" w:hint="cs"/>
          <w:sz w:val="36"/>
          <w:szCs w:val="36"/>
          <w:rtl/>
        </w:rPr>
        <w:t>،</w:t>
      </w:r>
      <w:r w:rsidRPr="003B4B80">
        <w:rPr>
          <w:rFonts w:ascii="Traditional Arabic" w:hAnsi="Traditional Arabic" w:cs="Traditional Arabic"/>
          <w:sz w:val="36"/>
          <w:szCs w:val="36"/>
          <w:rtl/>
        </w:rPr>
        <w:t xml:space="preserve"> ومن تبعهم بإحسان إلى يوم الدين.</w:t>
      </w:r>
    </w:p>
    <w:p w:rsidR="003B4B80" w:rsidRPr="00087517" w:rsidRDefault="003B4B80" w:rsidP="003B4B80">
      <w:pPr>
        <w:autoSpaceDE w:val="0"/>
        <w:autoSpaceDN w:val="0"/>
        <w:bidi/>
        <w:adjustRightInd w:val="0"/>
        <w:spacing w:after="240"/>
        <w:jc w:val="both"/>
        <w:rPr>
          <w:rFonts w:ascii="Arial" w:hAnsi="Arial" w:cs="AL-Hotham" w:hint="cs"/>
          <w:sz w:val="36"/>
          <w:szCs w:val="36"/>
          <w:rtl/>
        </w:rPr>
      </w:pPr>
      <w:r w:rsidRPr="003B4B80">
        <w:rPr>
          <w:rFonts w:ascii="Traditional Arabic" w:hAnsi="Traditional Arabic" w:cs="Traditional Arabic"/>
          <w:sz w:val="36"/>
          <w:szCs w:val="36"/>
          <w:rtl/>
        </w:rPr>
        <w:t>أما بعد، فإن الخَطابة من أهم وسائل الدعوة إلى الله تعالى، ووسيلة من وسائل توجيه الأمة وتربيتها، وجزءٌ من مهمة الأنبياء والمرسلين في دعوة أقوامهم إلى عبادة الله وطاعته، وإرشادهم إلى ما فيه صالحهم في العاجل والآجل.</w:t>
      </w:r>
      <w:r>
        <w:rPr>
          <w:rFonts w:ascii="Traditional Arabic" w:hAnsi="Traditional Arabic" w:cs="Traditional Arabic" w:hint="cs"/>
          <w:sz w:val="36"/>
          <w:szCs w:val="36"/>
          <w:rtl/>
        </w:rPr>
        <w:t xml:space="preserve"> </w:t>
      </w:r>
      <w:r w:rsidRPr="003B4B80">
        <w:rPr>
          <w:rFonts w:ascii="Traditional Arabic" w:hAnsi="Traditional Arabic" w:cs="Traditional Arabic"/>
          <w:sz w:val="36"/>
          <w:szCs w:val="36"/>
          <w:rtl/>
        </w:rPr>
        <w:t>ولم يزل المصلحون والعلماء والقادةُ يلجأون إليها كوسيلة دعوية ذات فعالية كي يحققوا النجاح لأفكارهم التي يدعون إليها.</w:t>
      </w:r>
    </w:p>
    <w:p w:rsidR="003B4B80" w:rsidRPr="003B4B80" w:rsidRDefault="003B4B80" w:rsidP="00F32868">
      <w:pPr>
        <w:autoSpaceDE w:val="0"/>
        <w:autoSpaceDN w:val="0"/>
        <w:bidi/>
        <w:adjustRightInd w:val="0"/>
        <w:spacing w:after="240"/>
        <w:jc w:val="both"/>
        <w:rPr>
          <w:rFonts w:ascii="Traditional Arabic" w:hAnsi="Traditional Arabic" w:cs="Traditional Arabic"/>
          <w:sz w:val="36"/>
          <w:szCs w:val="36"/>
          <w:rtl/>
        </w:rPr>
      </w:pPr>
      <w:r w:rsidRPr="003B4B80">
        <w:rPr>
          <w:rFonts w:ascii="Traditional Arabic" w:hAnsi="Traditional Arabic" w:cs="Traditional Arabic"/>
          <w:sz w:val="36"/>
          <w:szCs w:val="36"/>
          <w:rtl/>
        </w:rPr>
        <w:t>وبما أن خطَب الجمعة تتميز بأن المسلمين على اختلاف طبقاتهم الاجتماعية، وتباين مستوياتهم الثقافية</w:t>
      </w:r>
      <w:r>
        <w:rPr>
          <w:rFonts w:ascii="Traditional Arabic" w:hAnsi="Traditional Arabic" w:cs="Traditional Arabic" w:hint="cs"/>
          <w:sz w:val="36"/>
          <w:szCs w:val="36"/>
          <w:rtl/>
        </w:rPr>
        <w:t>،</w:t>
      </w:r>
      <w:r w:rsidRPr="003B4B80">
        <w:rPr>
          <w:rFonts w:ascii="Traditional Arabic" w:hAnsi="Traditional Arabic" w:cs="Traditional Arabic"/>
          <w:sz w:val="36"/>
          <w:szCs w:val="36"/>
          <w:rtl/>
        </w:rPr>
        <w:t xml:space="preserve"> يحضرونها ويستمعون إليها، وأن عددَها يزيدُ ولا ينقُص</w:t>
      </w:r>
      <w:r>
        <w:rPr>
          <w:rFonts w:ascii="Traditional Arabic" w:hAnsi="Traditional Arabic" w:cs="Traditional Arabic" w:hint="cs"/>
          <w:sz w:val="36"/>
          <w:szCs w:val="36"/>
          <w:rtl/>
        </w:rPr>
        <w:t>؛</w:t>
      </w:r>
      <w:r w:rsidRPr="003B4B80">
        <w:rPr>
          <w:rFonts w:ascii="Traditional Arabic" w:hAnsi="Traditional Arabic" w:cs="Traditional Arabic"/>
          <w:sz w:val="36"/>
          <w:szCs w:val="36"/>
          <w:rtl/>
        </w:rPr>
        <w:t xml:space="preserve"> وجدها الدعاةُ إلى الله أكبر وسيلة لمخاطبة الجماهير، والتحدث مع الجميع،</w:t>
      </w:r>
      <w:r>
        <w:rPr>
          <w:rFonts w:ascii="Traditional Arabic" w:hAnsi="Traditional Arabic" w:cs="Traditional Arabic"/>
          <w:sz w:val="36"/>
          <w:szCs w:val="36"/>
          <w:rtl/>
        </w:rPr>
        <w:t xml:space="preserve"> وإسماع رسالتهم للكلِّ.</w:t>
      </w:r>
      <w:r>
        <w:rPr>
          <w:rFonts w:ascii="Traditional Arabic" w:hAnsi="Traditional Arabic" w:cs="Traditional Arabic" w:hint="cs"/>
          <w:sz w:val="36"/>
          <w:szCs w:val="36"/>
          <w:rtl/>
        </w:rPr>
        <w:t xml:space="preserve"> </w:t>
      </w:r>
      <w:r w:rsidRPr="003B4B80">
        <w:rPr>
          <w:rFonts w:ascii="Traditional Arabic" w:hAnsi="Traditional Arabic" w:cs="Traditional Arabic"/>
          <w:sz w:val="36"/>
          <w:szCs w:val="36"/>
          <w:rtl/>
        </w:rPr>
        <w:t>ونظراً لهذه المنزلة العظيمة التي تحتلها خ</w:t>
      </w:r>
      <w:r w:rsidR="00045BEA">
        <w:rPr>
          <w:rFonts w:ascii="Traditional Arabic" w:hAnsi="Traditional Arabic" w:cs="Traditional Arabic" w:hint="cs"/>
          <w:sz w:val="36"/>
          <w:szCs w:val="36"/>
          <w:rtl/>
        </w:rPr>
        <w:t>ُ</w:t>
      </w:r>
      <w:r w:rsidRPr="003B4B80">
        <w:rPr>
          <w:rFonts w:ascii="Traditional Arabic" w:hAnsi="Traditional Arabic" w:cs="Traditional Arabic"/>
          <w:sz w:val="36"/>
          <w:szCs w:val="36"/>
          <w:rtl/>
        </w:rPr>
        <w:t>طب الجمعة</w:t>
      </w:r>
      <w:r>
        <w:rPr>
          <w:rFonts w:ascii="Traditional Arabic" w:hAnsi="Traditional Arabic" w:cs="Traditional Arabic" w:hint="cs"/>
          <w:sz w:val="36"/>
          <w:szCs w:val="36"/>
          <w:rtl/>
        </w:rPr>
        <w:t>،</w:t>
      </w:r>
      <w:r w:rsidRPr="003B4B80">
        <w:rPr>
          <w:rFonts w:ascii="Traditional Arabic" w:hAnsi="Traditional Arabic" w:cs="Traditional Arabic"/>
          <w:sz w:val="36"/>
          <w:szCs w:val="36"/>
          <w:rtl/>
        </w:rPr>
        <w:t xml:space="preserve"> </w:t>
      </w:r>
      <w:r w:rsidR="00045BEA">
        <w:rPr>
          <w:rFonts w:ascii="Traditional Arabic" w:hAnsi="Traditional Arabic" w:cs="Traditional Arabic" w:hint="cs"/>
          <w:sz w:val="36"/>
          <w:szCs w:val="36"/>
          <w:rtl/>
        </w:rPr>
        <w:t xml:space="preserve">وعلاقة الموضوع بشخصية البروفيسور محمد ثاني زهر الدين، الذي يقام هذا المؤتمر من أجل إكرامه؛ </w:t>
      </w:r>
      <w:r w:rsidRPr="003B4B80">
        <w:rPr>
          <w:rFonts w:ascii="Traditional Arabic" w:hAnsi="Traditional Arabic" w:cs="Traditional Arabic"/>
          <w:sz w:val="36"/>
          <w:szCs w:val="36"/>
          <w:rtl/>
        </w:rPr>
        <w:t>قرَّر</w:t>
      </w:r>
      <w:r>
        <w:rPr>
          <w:rFonts w:ascii="Traditional Arabic" w:hAnsi="Traditional Arabic" w:cs="Traditional Arabic" w:hint="cs"/>
          <w:sz w:val="36"/>
          <w:szCs w:val="36"/>
          <w:rtl/>
        </w:rPr>
        <w:t>تُ أن أبثَّ بعضَ خ</w:t>
      </w:r>
      <w:bookmarkStart w:id="0" w:name="_GoBack"/>
      <w:bookmarkEnd w:id="0"/>
      <w:r>
        <w:rPr>
          <w:rFonts w:ascii="Traditional Arabic" w:hAnsi="Traditional Arabic" w:cs="Traditional Arabic" w:hint="cs"/>
          <w:sz w:val="36"/>
          <w:szCs w:val="36"/>
          <w:rtl/>
        </w:rPr>
        <w:t xml:space="preserve">واطري </w:t>
      </w:r>
      <w:r w:rsidR="00045BEA">
        <w:rPr>
          <w:rFonts w:ascii="Traditional Arabic" w:hAnsi="Traditional Arabic" w:cs="Traditional Arabic" w:hint="cs"/>
          <w:sz w:val="36"/>
          <w:szCs w:val="36"/>
          <w:rtl/>
        </w:rPr>
        <w:t>حول الخطبة، راجياً أن يساهم ذلك في تفعيل دورها، والرفع بمستواها، خاصة في هذه البلاد.</w:t>
      </w:r>
      <w:r>
        <w:rPr>
          <w:rFonts w:ascii="Traditional Arabic" w:hAnsi="Traditional Arabic" w:cs="Traditional Arabic" w:hint="cs"/>
          <w:sz w:val="36"/>
          <w:szCs w:val="36"/>
          <w:rtl/>
        </w:rPr>
        <w:t xml:space="preserve"> </w:t>
      </w:r>
      <w:r w:rsidRPr="003B4B80">
        <w:rPr>
          <w:rFonts w:ascii="Traditional Arabic" w:hAnsi="Traditional Arabic" w:cs="Traditional Arabic"/>
          <w:sz w:val="36"/>
          <w:szCs w:val="36"/>
          <w:rtl/>
        </w:rPr>
        <w:t>وجرياً وراء تقريب أفكار موضوعه، رأ</w:t>
      </w:r>
      <w:r w:rsidR="00045BEA">
        <w:rPr>
          <w:rFonts w:ascii="Traditional Arabic" w:hAnsi="Traditional Arabic" w:cs="Traditional Arabic"/>
          <w:sz w:val="36"/>
          <w:szCs w:val="36"/>
          <w:rtl/>
        </w:rPr>
        <w:t>يتُ تقسيمَه إلى النقاط التالية:</w:t>
      </w:r>
    </w:p>
    <w:p w:rsidR="003B4B80" w:rsidRPr="003B4B80" w:rsidRDefault="00F32868" w:rsidP="003B4B80">
      <w:pPr>
        <w:numPr>
          <w:ilvl w:val="0"/>
          <w:numId w:val="7"/>
        </w:numPr>
        <w:autoSpaceDE w:val="0"/>
        <w:autoSpaceDN w:val="0"/>
        <w:bidi/>
        <w:adjustRightInd w:val="0"/>
        <w:spacing w:after="240"/>
        <w:jc w:val="both"/>
        <w:rPr>
          <w:rFonts w:ascii="Traditional Arabic" w:hAnsi="Traditional Arabic" w:cs="Traditional Arabic"/>
          <w:sz w:val="36"/>
          <w:szCs w:val="36"/>
        </w:rPr>
      </w:pPr>
      <w:r>
        <w:rPr>
          <w:rFonts w:ascii="Traditional Arabic" w:hAnsi="Traditional Arabic" w:cs="Traditional Arabic"/>
          <w:sz w:val="36"/>
          <w:szCs w:val="36"/>
          <w:rtl/>
        </w:rPr>
        <w:t>حول مفهوم الخطبة</w:t>
      </w:r>
    </w:p>
    <w:p w:rsidR="003B4B80" w:rsidRPr="003B4B80" w:rsidRDefault="00F32868" w:rsidP="003B4B80">
      <w:pPr>
        <w:numPr>
          <w:ilvl w:val="0"/>
          <w:numId w:val="7"/>
        </w:numPr>
        <w:autoSpaceDE w:val="0"/>
        <w:autoSpaceDN w:val="0"/>
        <w:bidi/>
        <w:adjustRightInd w:val="0"/>
        <w:spacing w:after="240"/>
        <w:jc w:val="both"/>
        <w:rPr>
          <w:rFonts w:ascii="Traditional Arabic" w:hAnsi="Traditional Arabic" w:cs="Traditional Arabic"/>
          <w:sz w:val="36"/>
          <w:szCs w:val="36"/>
        </w:rPr>
      </w:pPr>
      <w:r>
        <w:rPr>
          <w:rFonts w:ascii="Traditional Arabic" w:hAnsi="Traditional Arabic" w:cs="Traditional Arabic"/>
          <w:sz w:val="36"/>
          <w:szCs w:val="36"/>
          <w:rtl/>
        </w:rPr>
        <w:t>نشأة الخطبة وتطَوُّرُها</w:t>
      </w:r>
    </w:p>
    <w:p w:rsidR="003B4B80" w:rsidRPr="003B4B80" w:rsidRDefault="003B4B80" w:rsidP="003B4B80">
      <w:pPr>
        <w:numPr>
          <w:ilvl w:val="0"/>
          <w:numId w:val="7"/>
        </w:numPr>
        <w:autoSpaceDE w:val="0"/>
        <w:autoSpaceDN w:val="0"/>
        <w:bidi/>
        <w:adjustRightInd w:val="0"/>
        <w:spacing w:after="240"/>
        <w:jc w:val="both"/>
        <w:rPr>
          <w:rFonts w:ascii="Traditional Arabic" w:hAnsi="Traditional Arabic" w:cs="Traditional Arabic"/>
          <w:sz w:val="36"/>
          <w:szCs w:val="36"/>
        </w:rPr>
      </w:pPr>
      <w:r w:rsidRPr="003B4B80">
        <w:rPr>
          <w:rFonts w:ascii="Traditional Arabic" w:hAnsi="Traditional Arabic" w:cs="Traditional Arabic"/>
          <w:sz w:val="36"/>
          <w:szCs w:val="36"/>
          <w:rtl/>
        </w:rPr>
        <w:t>الخطبة في شم</w:t>
      </w:r>
      <w:r w:rsidR="00F32868">
        <w:rPr>
          <w:rFonts w:ascii="Traditional Arabic" w:hAnsi="Traditional Arabic" w:cs="Traditional Arabic"/>
          <w:sz w:val="36"/>
          <w:szCs w:val="36"/>
          <w:rtl/>
        </w:rPr>
        <w:t>الي نيجيريا بين الواقع والمأمول</w:t>
      </w:r>
    </w:p>
    <w:p w:rsidR="003B4B80" w:rsidRPr="003B4B80" w:rsidRDefault="003B4B80" w:rsidP="003B4B80">
      <w:pPr>
        <w:numPr>
          <w:ilvl w:val="0"/>
          <w:numId w:val="7"/>
        </w:numPr>
        <w:autoSpaceDE w:val="0"/>
        <w:autoSpaceDN w:val="0"/>
        <w:bidi/>
        <w:adjustRightInd w:val="0"/>
        <w:spacing w:after="240"/>
        <w:jc w:val="both"/>
        <w:rPr>
          <w:rFonts w:ascii="Traditional Arabic" w:hAnsi="Traditional Arabic" w:cs="Traditional Arabic"/>
          <w:sz w:val="36"/>
          <w:szCs w:val="36"/>
          <w:rtl/>
        </w:rPr>
      </w:pPr>
      <w:r w:rsidRPr="003B4B80">
        <w:rPr>
          <w:rFonts w:ascii="Traditional Arabic" w:hAnsi="Traditional Arabic" w:cs="Traditional Arabic"/>
          <w:sz w:val="36"/>
          <w:szCs w:val="36"/>
          <w:rtl/>
        </w:rPr>
        <w:t>خاتمة، وقد أوصيتُ فيها بإعادة النظر في ا</w:t>
      </w:r>
      <w:r w:rsidR="00F32868">
        <w:rPr>
          <w:rFonts w:ascii="Traditional Arabic" w:hAnsi="Traditional Arabic" w:cs="Traditional Arabic"/>
          <w:sz w:val="36"/>
          <w:szCs w:val="36"/>
          <w:rtl/>
        </w:rPr>
        <w:t>شتراط كون الخطبة باللغة العربية</w:t>
      </w:r>
    </w:p>
    <w:p w:rsidR="003B4B80" w:rsidRPr="00F32868" w:rsidRDefault="003B4B80" w:rsidP="00F32868">
      <w:pPr>
        <w:autoSpaceDE w:val="0"/>
        <w:autoSpaceDN w:val="0"/>
        <w:bidi/>
        <w:adjustRightInd w:val="0"/>
        <w:spacing w:after="240"/>
        <w:jc w:val="both"/>
        <w:rPr>
          <w:rFonts w:ascii="Traditional Arabic" w:hAnsi="Traditional Arabic" w:cs="Traditional Arabic"/>
          <w:b/>
          <w:bCs/>
          <w:sz w:val="36"/>
          <w:szCs w:val="36"/>
          <w:rtl/>
        </w:rPr>
      </w:pPr>
      <w:r w:rsidRPr="00F32868">
        <w:rPr>
          <w:rFonts w:ascii="Traditional Arabic" w:hAnsi="Traditional Arabic" w:cs="Traditional Arabic"/>
          <w:b/>
          <w:bCs/>
          <w:sz w:val="36"/>
          <w:szCs w:val="36"/>
          <w:rtl/>
        </w:rPr>
        <w:lastRenderedPageBreak/>
        <w:t>حول مفهوم الخطبة</w:t>
      </w:r>
      <w:r w:rsidR="00F32868" w:rsidRPr="00F32868">
        <w:rPr>
          <w:rFonts w:ascii="Traditional Arabic" w:hAnsi="Traditional Arabic" w:cs="Traditional Arabic"/>
          <w:b/>
          <w:bCs/>
          <w:sz w:val="36"/>
          <w:szCs w:val="36"/>
          <w:rtl/>
        </w:rPr>
        <w:t>:</w:t>
      </w:r>
    </w:p>
    <w:p w:rsidR="003B4B80" w:rsidRPr="00F32868" w:rsidRDefault="003B4B80" w:rsidP="000170AF">
      <w:pPr>
        <w:autoSpaceDE w:val="0"/>
        <w:autoSpaceDN w:val="0"/>
        <w:bidi/>
        <w:adjustRightInd w:val="0"/>
        <w:spacing w:after="240"/>
        <w:jc w:val="both"/>
        <w:rPr>
          <w:rFonts w:ascii="Traditional Arabic" w:hAnsi="Traditional Arabic" w:cs="Traditional Arabic"/>
          <w:sz w:val="36"/>
          <w:szCs w:val="36"/>
          <w:rtl/>
        </w:rPr>
      </w:pPr>
      <w:r w:rsidRPr="00F32868">
        <w:rPr>
          <w:rFonts w:ascii="Traditional Arabic" w:hAnsi="Traditional Arabic" w:cs="Traditional Arabic"/>
          <w:sz w:val="36"/>
          <w:szCs w:val="36"/>
          <w:rtl/>
        </w:rPr>
        <w:t>الخُطْبَةُ</w:t>
      </w:r>
      <w:r w:rsidR="00F32868">
        <w:rPr>
          <w:rFonts w:ascii="Traditional Arabic" w:hAnsi="Traditional Arabic" w:cs="Traditional Arabic" w:hint="cs"/>
          <w:sz w:val="36"/>
          <w:szCs w:val="36"/>
          <w:rtl/>
        </w:rPr>
        <w:t xml:space="preserve"> في اللغة</w:t>
      </w:r>
      <w:r w:rsidRPr="00F32868">
        <w:rPr>
          <w:rFonts w:ascii="Traditional Arabic" w:hAnsi="Traditional Arabic" w:cs="Traditional Arabic"/>
          <w:sz w:val="36"/>
          <w:szCs w:val="36"/>
          <w:rtl/>
        </w:rPr>
        <w:t>: هي بضم الخاء، وهي ما يُقال على المنبرِ، يُقال: خَطَبَ على المنبر خُطْبَة - بضم الخاء - وخَطَابة، وأما الخِطْبَة -بكسر الخاء -فهي طلبُ نكاح المرأة.وهي مشتقة من المخاطبة، وقيل: من الخَطْبِ، وهو الأمرُ العظيمُ؛ لأنهم كانوا لا يجعلونها إلا عنده</w:t>
      </w:r>
      <w:r w:rsidR="000170AF" w:rsidRPr="000170AF">
        <w:rPr>
          <w:rFonts w:ascii="Traditional Arabic" w:hAnsi="Traditional Arabic" w:cs="Traditional Arabic" w:hint="cs"/>
          <w:sz w:val="36"/>
          <w:szCs w:val="36"/>
          <w:vertAlign w:val="superscript"/>
          <w:rtl/>
        </w:rPr>
        <w:t>1</w:t>
      </w:r>
      <w:r w:rsidR="000170AF" w:rsidRPr="000170AF">
        <w:rPr>
          <w:rFonts w:ascii="Traditional Arabic" w:hAnsi="Traditional Arabic" w:cs="Traditional Arabic" w:hint="cs"/>
          <w:sz w:val="36"/>
          <w:szCs w:val="36"/>
          <w:rtl/>
        </w:rPr>
        <w:t>.</w:t>
      </w:r>
      <w:r w:rsidRPr="000170AF">
        <w:rPr>
          <w:rStyle w:val="EndnoteReference"/>
          <w:rFonts w:ascii="Traditional Arabic" w:hAnsi="Traditional Arabic" w:cs="Traditional Arabic"/>
          <w:color w:val="FFFFFF" w:themeColor="background1"/>
          <w:sz w:val="36"/>
          <w:szCs w:val="36"/>
          <w:rtl/>
        </w:rPr>
        <w:endnoteReference w:id="1"/>
      </w:r>
      <w:r w:rsidR="000170AF">
        <w:rPr>
          <w:rFonts w:ascii="Traditional Arabic" w:hAnsi="Traditional Arabic" w:cs="Traditional Arabic" w:hint="cs"/>
          <w:sz w:val="36"/>
          <w:szCs w:val="36"/>
          <w:rtl/>
        </w:rPr>
        <w:t xml:space="preserve"> </w:t>
      </w:r>
    </w:p>
    <w:p w:rsidR="003B4B80" w:rsidRPr="00F32868" w:rsidRDefault="003B4B80" w:rsidP="000170AF">
      <w:pPr>
        <w:autoSpaceDE w:val="0"/>
        <w:autoSpaceDN w:val="0"/>
        <w:bidi/>
        <w:adjustRightInd w:val="0"/>
        <w:spacing w:after="240"/>
        <w:jc w:val="both"/>
        <w:rPr>
          <w:rFonts w:ascii="Traditional Arabic" w:hAnsi="Traditional Arabic" w:cs="Traditional Arabic"/>
          <w:sz w:val="36"/>
          <w:szCs w:val="36"/>
          <w:rtl/>
        </w:rPr>
      </w:pPr>
      <w:r w:rsidRPr="00F32868">
        <w:rPr>
          <w:rFonts w:ascii="Traditional Arabic" w:hAnsi="Traditional Arabic" w:cs="Traditional Arabic"/>
          <w:sz w:val="36"/>
          <w:szCs w:val="36"/>
          <w:rtl/>
        </w:rPr>
        <w:t>قال في القاموس: "</w:t>
      </w:r>
      <w:r w:rsidR="004F5595">
        <w:rPr>
          <w:rFonts w:ascii="Traditional Arabic" w:hAnsi="Traditional Arabic" w:cs="Traditional Arabic"/>
          <w:sz w:val="36"/>
          <w:szCs w:val="36"/>
          <w:rtl/>
        </w:rPr>
        <w:t>. .</w:t>
      </w:r>
      <w:r w:rsidR="004F5595">
        <w:rPr>
          <w:rFonts w:ascii="Traditional Arabic" w:hAnsi="Traditional Arabic" w:cs="Traditional Arabic" w:hint="cs"/>
          <w:sz w:val="36"/>
          <w:szCs w:val="36"/>
          <w:rtl/>
        </w:rPr>
        <w:t xml:space="preserve"> </w:t>
      </w:r>
      <w:r w:rsidRPr="00F32868">
        <w:rPr>
          <w:rFonts w:ascii="Traditional Arabic" w:hAnsi="Traditional Arabic" w:cs="Traditional Arabic"/>
          <w:sz w:val="36"/>
          <w:szCs w:val="36"/>
          <w:rtl/>
        </w:rPr>
        <w:t>وخَطَبَ الخاطبُ على المِنْبَر خَطابة بالفتح، وخُطبة بالضَّم، وذلك الكلام خُطبة أيضا، أو هي الكلام المنثور المُسَجَّع ونحوه، ورجل خَطِيبٌ حسن الخُطبة بالضم "</w:t>
      </w:r>
      <w:r w:rsidR="000170AF" w:rsidRPr="000170AF">
        <w:rPr>
          <w:rFonts w:ascii="Traditional Arabic" w:hAnsi="Traditional Arabic" w:cs="Traditional Arabic" w:hint="cs"/>
          <w:sz w:val="36"/>
          <w:szCs w:val="36"/>
          <w:vertAlign w:val="superscript"/>
          <w:rtl/>
        </w:rPr>
        <w:t>2</w:t>
      </w:r>
      <w:r w:rsidR="000170AF" w:rsidRPr="000170AF">
        <w:rPr>
          <w:rFonts w:ascii="Traditional Arabic" w:hAnsi="Traditional Arabic" w:cs="Traditional Arabic" w:hint="cs"/>
          <w:sz w:val="36"/>
          <w:szCs w:val="36"/>
          <w:rtl/>
        </w:rPr>
        <w:t>.</w:t>
      </w:r>
      <w:r w:rsidRPr="000170AF">
        <w:rPr>
          <w:rStyle w:val="EndnoteReference"/>
          <w:rFonts w:ascii="Traditional Arabic" w:hAnsi="Traditional Arabic" w:cs="Traditional Arabic"/>
          <w:color w:val="FFFFFF" w:themeColor="background1"/>
          <w:sz w:val="36"/>
          <w:szCs w:val="36"/>
          <w:rtl/>
        </w:rPr>
        <w:endnoteReference w:id="2"/>
      </w:r>
      <w:r w:rsidR="000170AF">
        <w:rPr>
          <w:rFonts w:ascii="Traditional Arabic" w:hAnsi="Traditional Arabic" w:cs="Traditional Arabic" w:hint="cs"/>
          <w:sz w:val="36"/>
          <w:szCs w:val="36"/>
          <w:rtl/>
        </w:rPr>
        <w:t xml:space="preserve"> </w:t>
      </w:r>
    </w:p>
    <w:p w:rsidR="003B4B80" w:rsidRPr="00F32868" w:rsidRDefault="00F32868" w:rsidP="00F32868">
      <w:pPr>
        <w:autoSpaceDE w:val="0"/>
        <w:autoSpaceDN w:val="0"/>
        <w:bidi/>
        <w:adjustRightInd w:val="0"/>
        <w:spacing w:after="240"/>
        <w:rPr>
          <w:rFonts w:ascii="Traditional Arabic" w:hAnsi="Traditional Arabic" w:cs="Traditional Arabic"/>
          <w:sz w:val="36"/>
          <w:szCs w:val="36"/>
          <w:rtl/>
        </w:rPr>
      </w:pPr>
      <w:r w:rsidRPr="00F32868">
        <w:rPr>
          <w:rFonts w:ascii="Traditional Arabic" w:hAnsi="Traditional Arabic" w:cs="Traditional Arabic"/>
          <w:sz w:val="36"/>
          <w:szCs w:val="36"/>
          <w:rtl/>
        </w:rPr>
        <w:t xml:space="preserve">وأما في الاصطلاح فقد </w:t>
      </w:r>
      <w:r w:rsidR="003B4B80" w:rsidRPr="00F32868">
        <w:rPr>
          <w:rFonts w:ascii="Traditional Arabic" w:hAnsi="Traditional Arabic" w:cs="Traditional Arabic"/>
          <w:sz w:val="36"/>
          <w:szCs w:val="36"/>
          <w:rtl/>
        </w:rPr>
        <w:t xml:space="preserve">عُرِّفتْ بتعاريفَ كثيرة، تختلف في ألفاظها ولكنها تتقارب في معانيها ويكمّل بعضُها بعضا. ومن أحسن هذه التعاريف ما يلي: </w:t>
      </w:r>
    </w:p>
    <w:p w:rsidR="003B4B80" w:rsidRPr="00F32868" w:rsidRDefault="003B4B80" w:rsidP="003B4B80">
      <w:pPr>
        <w:numPr>
          <w:ilvl w:val="0"/>
          <w:numId w:val="3"/>
        </w:numPr>
        <w:autoSpaceDE w:val="0"/>
        <w:autoSpaceDN w:val="0"/>
        <w:bidi/>
        <w:adjustRightInd w:val="0"/>
        <w:spacing w:after="240"/>
        <w:jc w:val="both"/>
        <w:rPr>
          <w:rFonts w:ascii="Traditional Arabic" w:hAnsi="Traditional Arabic" w:cs="Traditional Arabic"/>
          <w:sz w:val="36"/>
          <w:szCs w:val="36"/>
        </w:rPr>
      </w:pPr>
      <w:r w:rsidRPr="00F32868">
        <w:rPr>
          <w:rFonts w:ascii="Traditional Arabic" w:hAnsi="Traditional Arabic" w:cs="Traditional Arabic"/>
          <w:sz w:val="36"/>
          <w:szCs w:val="36"/>
          <w:rtl/>
        </w:rPr>
        <w:t>عرَّفها بعضهم بأنها: الكلامُ المؤَلَّفُ المُتضمِّنُ وعظاً وإبلاغاً. ولكنَّ هذا فيه إجمالٌ.</w:t>
      </w:r>
    </w:p>
    <w:p w:rsidR="003B4B80" w:rsidRPr="00F32868" w:rsidRDefault="003B4B80" w:rsidP="003B4B80">
      <w:pPr>
        <w:numPr>
          <w:ilvl w:val="0"/>
          <w:numId w:val="3"/>
        </w:numPr>
        <w:autoSpaceDE w:val="0"/>
        <w:autoSpaceDN w:val="0"/>
        <w:bidi/>
        <w:adjustRightInd w:val="0"/>
        <w:spacing w:after="240"/>
        <w:jc w:val="both"/>
        <w:rPr>
          <w:rFonts w:ascii="Traditional Arabic" w:hAnsi="Traditional Arabic" w:cs="Traditional Arabic"/>
          <w:sz w:val="36"/>
          <w:szCs w:val="36"/>
        </w:rPr>
      </w:pPr>
      <w:r w:rsidRPr="00F32868">
        <w:rPr>
          <w:rFonts w:ascii="Traditional Arabic" w:hAnsi="Traditional Arabic" w:cs="Traditional Arabic"/>
          <w:sz w:val="36"/>
          <w:szCs w:val="36"/>
          <w:rtl/>
        </w:rPr>
        <w:t>وأحسنُ منه تعريفُ مَنْ قال: إنها قياسٌ مُرَكَّبٌ مِنْ مُقَدِّمَاتٍ مقبولةٍ أو مظْنُونَةٍ، من شخصٍ مُعْتَقَدٍ فيه، والغرضُ منها ترغيبُ الناسِ فيما ينفعُهم من أُمورِ مَعاشِهم ومَعادِهِمْ.</w:t>
      </w:r>
    </w:p>
    <w:p w:rsidR="003B4B80" w:rsidRPr="00F32868" w:rsidRDefault="003B4B80" w:rsidP="000170AF">
      <w:pPr>
        <w:numPr>
          <w:ilvl w:val="0"/>
          <w:numId w:val="3"/>
        </w:numPr>
        <w:autoSpaceDE w:val="0"/>
        <w:autoSpaceDN w:val="0"/>
        <w:bidi/>
        <w:adjustRightInd w:val="0"/>
        <w:spacing w:after="240"/>
        <w:jc w:val="both"/>
        <w:rPr>
          <w:rFonts w:ascii="Traditional Arabic" w:hAnsi="Traditional Arabic" w:cs="Traditional Arabic"/>
          <w:sz w:val="36"/>
          <w:szCs w:val="36"/>
          <w:u w:val="single"/>
        </w:rPr>
      </w:pPr>
      <w:r w:rsidRPr="00F32868">
        <w:rPr>
          <w:rFonts w:ascii="Traditional Arabic" w:hAnsi="Traditional Arabic" w:cs="Traditional Arabic"/>
          <w:sz w:val="36"/>
          <w:szCs w:val="36"/>
          <w:rtl/>
        </w:rPr>
        <w:t xml:space="preserve">وعرَّف بعضُ المعاصرين الخَطابةَ: بأنها </w:t>
      </w:r>
      <w:r w:rsidRPr="00F32868">
        <w:rPr>
          <w:rFonts w:ascii="Traditional Arabic" w:hAnsi="Traditional Arabic" w:cs="Traditional Arabic"/>
          <w:sz w:val="36"/>
          <w:szCs w:val="36"/>
          <w:u w:val="single"/>
          <w:rtl/>
        </w:rPr>
        <w:t>فنٌّ من فُنُونِ الكلام، يُقْصَدُ به التأثيرُ في الجُمْهورِ عن طريقِ السَّمْعِ والبَصَرِ معاً</w:t>
      </w:r>
      <w:r w:rsidR="000170AF" w:rsidRPr="000170AF">
        <w:rPr>
          <w:rFonts w:ascii="Traditional Arabic" w:hAnsi="Traditional Arabic" w:cs="Traditional Arabic" w:hint="cs"/>
          <w:sz w:val="36"/>
          <w:szCs w:val="36"/>
          <w:u w:val="single"/>
          <w:vertAlign w:val="superscript"/>
          <w:rtl/>
        </w:rPr>
        <w:t>3</w:t>
      </w:r>
      <w:r w:rsidR="000170AF" w:rsidRPr="000170AF">
        <w:rPr>
          <w:rFonts w:ascii="Traditional Arabic" w:hAnsi="Traditional Arabic" w:cs="Traditional Arabic" w:hint="cs"/>
          <w:sz w:val="36"/>
          <w:szCs w:val="36"/>
          <w:rtl/>
        </w:rPr>
        <w:t>.</w:t>
      </w:r>
      <w:r w:rsidRPr="000170AF">
        <w:rPr>
          <w:rStyle w:val="EndnoteReference"/>
          <w:rFonts w:ascii="Traditional Arabic" w:hAnsi="Traditional Arabic" w:cs="Traditional Arabic"/>
          <w:color w:val="FFFFFF" w:themeColor="background1"/>
          <w:sz w:val="36"/>
          <w:szCs w:val="36"/>
          <w:u w:val="single"/>
          <w:rtl/>
        </w:rPr>
        <w:endnoteReference w:id="3"/>
      </w:r>
      <w:r w:rsidR="000170AF">
        <w:rPr>
          <w:rFonts w:ascii="Traditional Arabic" w:hAnsi="Traditional Arabic" w:cs="Traditional Arabic" w:hint="cs"/>
          <w:sz w:val="36"/>
          <w:szCs w:val="36"/>
          <w:u w:val="single"/>
          <w:rtl/>
        </w:rPr>
        <w:t xml:space="preserve"> </w:t>
      </w:r>
    </w:p>
    <w:p w:rsidR="003B4B80" w:rsidRPr="00F32868" w:rsidRDefault="003B4B80" w:rsidP="003B4B80">
      <w:pPr>
        <w:numPr>
          <w:ilvl w:val="0"/>
          <w:numId w:val="3"/>
        </w:numPr>
        <w:autoSpaceDE w:val="0"/>
        <w:autoSpaceDN w:val="0"/>
        <w:bidi/>
        <w:adjustRightInd w:val="0"/>
        <w:spacing w:after="240"/>
        <w:jc w:val="both"/>
        <w:rPr>
          <w:rFonts w:ascii="Traditional Arabic" w:hAnsi="Traditional Arabic" w:cs="Traditional Arabic"/>
          <w:sz w:val="36"/>
          <w:szCs w:val="36"/>
          <w:u w:val="single"/>
          <w:rtl/>
        </w:rPr>
      </w:pPr>
      <w:r w:rsidRPr="00F32868">
        <w:rPr>
          <w:rFonts w:ascii="Traditional Arabic" w:hAnsi="Traditional Arabic" w:cs="Traditional Arabic"/>
          <w:sz w:val="36"/>
          <w:szCs w:val="36"/>
          <w:rtl/>
        </w:rPr>
        <w:t>واختار آخر أن يعرِّفَها</w:t>
      </w:r>
      <w:r w:rsidRPr="00F32868">
        <w:rPr>
          <w:rFonts w:ascii="Traditional Arabic" w:hAnsi="Traditional Arabic" w:cs="Traditional Arabic"/>
          <w:sz w:val="36"/>
          <w:szCs w:val="36"/>
          <w:u w:val="single"/>
          <w:rtl/>
        </w:rPr>
        <w:t xml:space="preserve"> بأنها مجموع قوانين يُقْتدَرُ بها على الإقناعِ الممكِن في أي موضوع يُراد</w:t>
      </w:r>
      <w:r w:rsidR="000170AF" w:rsidRPr="000170AF">
        <w:rPr>
          <w:rFonts w:ascii="Traditional Arabic" w:hAnsi="Traditional Arabic" w:cs="Traditional Arabic" w:hint="cs"/>
          <w:sz w:val="36"/>
          <w:szCs w:val="36"/>
          <w:u w:val="single"/>
          <w:vertAlign w:val="superscript"/>
          <w:rtl/>
        </w:rPr>
        <w:t>4</w:t>
      </w:r>
      <w:r w:rsidR="000170AF" w:rsidRPr="000170AF">
        <w:rPr>
          <w:rFonts w:ascii="Traditional Arabic" w:hAnsi="Traditional Arabic" w:cs="Traditional Arabic" w:hint="cs"/>
          <w:sz w:val="36"/>
          <w:szCs w:val="36"/>
          <w:rtl/>
        </w:rPr>
        <w:t>.</w:t>
      </w:r>
      <w:r w:rsidRPr="000170AF">
        <w:rPr>
          <w:rStyle w:val="EndnoteReference"/>
          <w:rFonts w:ascii="Traditional Arabic" w:hAnsi="Traditional Arabic" w:cs="Traditional Arabic"/>
          <w:color w:val="FFFFFF" w:themeColor="background1"/>
          <w:sz w:val="36"/>
          <w:szCs w:val="36"/>
          <w:u w:val="single"/>
          <w:rtl/>
        </w:rPr>
        <w:endnoteReference w:id="4"/>
      </w:r>
      <w:r w:rsidRPr="000170AF">
        <w:rPr>
          <w:rFonts w:ascii="Traditional Arabic" w:hAnsi="Traditional Arabic" w:cs="Traditional Arabic"/>
          <w:color w:val="FFFFFF" w:themeColor="background1"/>
          <w:sz w:val="36"/>
          <w:szCs w:val="36"/>
          <w:u w:val="single"/>
          <w:rtl/>
        </w:rPr>
        <w:t>.</w:t>
      </w:r>
    </w:p>
    <w:p w:rsidR="003B4B80" w:rsidRPr="00087517" w:rsidRDefault="003B4B80" w:rsidP="00F32868">
      <w:pPr>
        <w:autoSpaceDE w:val="0"/>
        <w:autoSpaceDN w:val="0"/>
        <w:bidi/>
        <w:adjustRightInd w:val="0"/>
        <w:spacing w:after="240"/>
        <w:jc w:val="both"/>
        <w:rPr>
          <w:rFonts w:ascii="Traditional Arabic" w:cs="AL-Hotham" w:hint="cs"/>
          <w:b/>
          <w:bCs/>
          <w:sz w:val="36"/>
          <w:szCs w:val="36"/>
          <w:rtl/>
        </w:rPr>
      </w:pPr>
      <w:r w:rsidRPr="00F32868">
        <w:rPr>
          <w:rFonts w:ascii="Traditional Arabic" w:hAnsi="Traditional Arabic" w:cs="Traditional Arabic"/>
          <w:sz w:val="36"/>
          <w:szCs w:val="36"/>
          <w:rtl/>
        </w:rPr>
        <w:t>وعلى ضوءِ التعاريفِ السابقةِ يتبينُ لنا أن الخطب</w:t>
      </w:r>
      <w:r w:rsidR="00F32868">
        <w:rPr>
          <w:rFonts w:ascii="Traditional Arabic" w:hAnsi="Traditional Arabic" w:cs="Traditional Arabic"/>
          <w:sz w:val="36"/>
          <w:szCs w:val="36"/>
          <w:rtl/>
        </w:rPr>
        <w:t xml:space="preserve">ةَ </w:t>
      </w:r>
      <w:r w:rsidR="00F32868">
        <w:rPr>
          <w:rFonts w:ascii="Traditional Arabic" w:hAnsi="Traditional Arabic" w:cs="Traditional Arabic" w:hint="cs"/>
          <w:sz w:val="36"/>
          <w:szCs w:val="36"/>
          <w:rtl/>
        </w:rPr>
        <w:t>تحتاج</w:t>
      </w:r>
      <w:r w:rsidR="00F32868">
        <w:rPr>
          <w:rFonts w:ascii="Traditional Arabic" w:hAnsi="Traditional Arabic" w:cs="Traditional Arabic"/>
          <w:sz w:val="36"/>
          <w:szCs w:val="36"/>
          <w:rtl/>
        </w:rPr>
        <w:t xml:space="preserve"> إلى عنصُريْن ضروريين</w:t>
      </w:r>
      <w:r w:rsidR="00F32868">
        <w:rPr>
          <w:rFonts w:ascii="Traditional Arabic" w:hAnsi="Traditional Arabic" w:cs="Traditional Arabic" w:hint="cs"/>
          <w:sz w:val="36"/>
          <w:szCs w:val="36"/>
          <w:rtl/>
        </w:rPr>
        <w:t xml:space="preserve"> </w:t>
      </w:r>
      <w:r w:rsidRPr="00F32868">
        <w:rPr>
          <w:rFonts w:ascii="Traditional Arabic" w:hAnsi="Traditional Arabic" w:cs="Traditional Arabic"/>
          <w:sz w:val="36"/>
          <w:szCs w:val="36"/>
          <w:rtl/>
        </w:rPr>
        <w:t>هما:</w:t>
      </w:r>
      <w:r w:rsidR="00F32868">
        <w:rPr>
          <w:rFonts w:ascii="Traditional Arabic" w:hAnsi="Traditional Arabic" w:cs="Traditional Arabic" w:hint="cs"/>
          <w:sz w:val="36"/>
          <w:szCs w:val="36"/>
          <w:rtl/>
        </w:rPr>
        <w:t xml:space="preserve"> </w:t>
      </w:r>
      <w:r w:rsidRPr="00F32868">
        <w:rPr>
          <w:rFonts w:ascii="Traditional Arabic" w:hAnsi="Traditional Arabic" w:cs="Traditional Arabic"/>
          <w:sz w:val="36"/>
          <w:szCs w:val="36"/>
          <w:rtl/>
        </w:rPr>
        <w:t>التأثير</w:t>
      </w:r>
      <w:r w:rsidR="00F32868">
        <w:rPr>
          <w:rFonts w:ascii="Traditional Arabic" w:hAnsi="Traditional Arabic" w:cs="Traditional Arabic" w:hint="cs"/>
          <w:sz w:val="36"/>
          <w:szCs w:val="36"/>
          <w:rtl/>
        </w:rPr>
        <w:t xml:space="preserve"> و</w:t>
      </w:r>
      <w:r w:rsidRPr="00F32868">
        <w:rPr>
          <w:rFonts w:ascii="Traditional Arabic" w:hAnsi="Traditional Arabic" w:cs="Traditional Arabic"/>
          <w:sz w:val="36"/>
          <w:szCs w:val="36"/>
          <w:rtl/>
        </w:rPr>
        <w:t>الإقناع.</w:t>
      </w:r>
      <w:r w:rsidR="00F32868">
        <w:rPr>
          <w:rFonts w:ascii="Traditional Arabic" w:hAnsi="Traditional Arabic" w:cs="Traditional Arabic" w:hint="cs"/>
          <w:sz w:val="36"/>
          <w:szCs w:val="36"/>
          <w:rtl/>
        </w:rPr>
        <w:t xml:space="preserve"> </w:t>
      </w:r>
      <w:r w:rsidRPr="00F32868">
        <w:rPr>
          <w:rFonts w:ascii="Traditional Arabic" w:hAnsi="Traditional Arabic" w:cs="Traditional Arabic"/>
          <w:sz w:val="36"/>
          <w:szCs w:val="36"/>
          <w:rtl/>
        </w:rPr>
        <w:t xml:space="preserve">هذان العنصران </w:t>
      </w:r>
      <w:r w:rsidR="00F32868">
        <w:rPr>
          <w:rFonts w:ascii="Traditional Arabic" w:hAnsi="Traditional Arabic" w:cs="Traditional Arabic" w:hint="cs"/>
          <w:sz w:val="36"/>
          <w:szCs w:val="36"/>
          <w:rtl/>
        </w:rPr>
        <w:t xml:space="preserve">هما </w:t>
      </w:r>
      <w:r w:rsidRPr="00F32868">
        <w:rPr>
          <w:rFonts w:ascii="Traditional Arabic" w:hAnsi="Traditional Arabic" w:cs="Traditional Arabic"/>
          <w:sz w:val="36"/>
          <w:szCs w:val="36"/>
          <w:rtl/>
        </w:rPr>
        <w:t xml:space="preserve">كالمعيار للخطبة، بهما يُقاسُ نجاحُها أو إخفاقُها. وبعبارة أخرى، إن الخطبةَ تكون ناجحةً بقدر ما حقَّقتْ من إقناع وتأثير، وتكون فاشلةً كلَّما ابتعدتْ عن تحقيق ذلك. وربَّما يكون هذا بعضَ ما تُشير إليه الآيةُ الكريمةُ: </w:t>
      </w:r>
      <w:r w:rsidRPr="00F32868">
        <w:rPr>
          <w:rFonts w:ascii="QCF_BSML" w:hAnsi="QCF_BSML" w:cs="QCF_BSML"/>
          <w:sz w:val="28"/>
          <w:szCs w:val="28"/>
          <w:rtl/>
        </w:rPr>
        <w:t xml:space="preserve">ﭽ </w:t>
      </w:r>
      <w:r w:rsidRPr="00F32868">
        <w:rPr>
          <w:rFonts w:ascii="QCF_P088" w:hAnsi="QCF_P088" w:cs="QCF_P088"/>
          <w:sz w:val="28"/>
          <w:szCs w:val="28"/>
          <w:rtl/>
        </w:rPr>
        <w:t xml:space="preserve">ﮚ  ﮛ  ﮜ  ﮝ   ﮞ  </w:t>
      </w:r>
      <w:r w:rsidRPr="00F32868">
        <w:rPr>
          <w:rFonts w:ascii="QCF_P088" w:hAnsi="QCF_P088" w:cs="QCF_P088"/>
          <w:sz w:val="28"/>
          <w:szCs w:val="28"/>
          <w:rtl/>
        </w:rPr>
        <w:lastRenderedPageBreak/>
        <w:t xml:space="preserve">ﮟ  ﮠ  ﮡ  </w:t>
      </w:r>
      <w:r w:rsidRPr="00F32868">
        <w:rPr>
          <w:rFonts w:ascii="QCF_BSML" w:hAnsi="QCF_BSML" w:cs="QCF_BSML"/>
          <w:sz w:val="28"/>
          <w:szCs w:val="28"/>
          <w:rtl/>
        </w:rPr>
        <w:t>ﭼ</w:t>
      </w:r>
      <w:r w:rsidRPr="00087517">
        <w:rPr>
          <w:rFonts w:ascii="Arial" w:hAnsi="Arial" w:cs="Arial"/>
          <w:sz w:val="32"/>
          <w:szCs w:val="32"/>
          <w:rtl/>
        </w:rPr>
        <w:t xml:space="preserve"> </w:t>
      </w:r>
      <w:r w:rsidRPr="00F32868">
        <w:rPr>
          <w:rFonts w:asciiTheme="minorBidi" w:hAnsiTheme="minorBidi" w:cstheme="minorBidi"/>
          <w:sz w:val="28"/>
          <w:szCs w:val="28"/>
          <w:rtl/>
        </w:rPr>
        <w:t>[النساء: ٦٣]</w:t>
      </w:r>
      <w:r w:rsidRPr="00087517">
        <w:rPr>
          <w:rFonts w:ascii="Arial" w:hAnsi="Arial" w:cs="DecoType Naskh Special" w:hint="cs"/>
          <w:sz w:val="36"/>
          <w:szCs w:val="36"/>
          <w:rtl/>
        </w:rPr>
        <w:t xml:space="preserve">. </w:t>
      </w:r>
      <w:r w:rsidRPr="00F32868">
        <w:rPr>
          <w:rFonts w:ascii="Traditional Arabic" w:hAnsi="Traditional Arabic" w:cs="Traditional Arabic"/>
          <w:sz w:val="36"/>
          <w:szCs w:val="36"/>
          <w:rtl/>
        </w:rPr>
        <w:t>أي: "وادْعُهم إلى الحقِّ بالموعظةِ الحسنةِ، وقُلْ لهم قولاً حكيماً يصلُ إلى أعماقِ نفوسِهم"</w:t>
      </w:r>
      <w:r w:rsidR="000170AF" w:rsidRPr="000170AF">
        <w:rPr>
          <w:rFonts w:ascii="Traditional Arabic" w:hAnsi="Traditional Arabic" w:cs="Traditional Arabic" w:hint="cs"/>
          <w:sz w:val="36"/>
          <w:szCs w:val="36"/>
          <w:vertAlign w:val="superscript"/>
          <w:rtl/>
        </w:rPr>
        <w:t>5</w:t>
      </w:r>
      <w:r w:rsidR="000170AF">
        <w:rPr>
          <w:rFonts w:ascii="Traditional Arabic" w:hAnsi="Traditional Arabic" w:cs="Traditional Arabic" w:hint="cs"/>
          <w:sz w:val="36"/>
          <w:szCs w:val="36"/>
          <w:rtl/>
        </w:rPr>
        <w:t>.</w:t>
      </w:r>
      <w:r w:rsidRPr="000170AF">
        <w:rPr>
          <w:rStyle w:val="EndnoteReference"/>
          <w:rFonts w:ascii="Traditional Arabic" w:hAnsi="Traditional Arabic" w:cs="Traditional Arabic"/>
          <w:color w:val="FFFFFF" w:themeColor="background1"/>
          <w:sz w:val="36"/>
          <w:szCs w:val="36"/>
          <w:rtl/>
        </w:rPr>
        <w:endnoteReference w:id="5"/>
      </w:r>
      <w:r w:rsidRPr="000170AF">
        <w:rPr>
          <w:rFonts w:ascii="Traditional Arabic" w:hAnsi="Traditional Arabic" w:cs="Traditional Arabic"/>
          <w:color w:val="FFFFFF" w:themeColor="background1"/>
          <w:sz w:val="36"/>
          <w:szCs w:val="36"/>
          <w:rtl/>
        </w:rPr>
        <w:t>.</w:t>
      </w:r>
    </w:p>
    <w:p w:rsidR="003B4B80" w:rsidRPr="00F32868" w:rsidRDefault="003B4B80" w:rsidP="00F32868">
      <w:pPr>
        <w:autoSpaceDE w:val="0"/>
        <w:autoSpaceDN w:val="0"/>
        <w:bidi/>
        <w:adjustRightInd w:val="0"/>
        <w:spacing w:after="240"/>
        <w:jc w:val="both"/>
        <w:rPr>
          <w:rFonts w:ascii="Traditional Arabic" w:hAnsi="Traditional Arabic" w:cs="Traditional Arabic"/>
          <w:sz w:val="36"/>
          <w:szCs w:val="36"/>
          <w:rtl/>
        </w:rPr>
      </w:pPr>
      <w:r w:rsidRPr="00F32868">
        <w:rPr>
          <w:rFonts w:ascii="Traditional Arabic" w:hAnsi="Traditional Arabic" w:cs="Traditional Arabic"/>
          <w:sz w:val="36"/>
          <w:szCs w:val="36"/>
          <w:rtl/>
        </w:rPr>
        <w:t>ولكي تتَّضحَ الصورةُ أكثرَ، أشير إلى أن بعض الباحثين قسَّم الخطب َ إلى خمسة أنواع</w:t>
      </w:r>
      <w:r w:rsidR="000170AF" w:rsidRPr="000170AF">
        <w:rPr>
          <w:rFonts w:ascii="Traditional Arabic" w:hAnsi="Traditional Arabic" w:cs="Traditional Arabic" w:hint="cs"/>
          <w:sz w:val="36"/>
          <w:szCs w:val="36"/>
          <w:vertAlign w:val="superscript"/>
          <w:rtl/>
        </w:rPr>
        <w:t>6</w:t>
      </w:r>
      <w:r w:rsidR="000170AF">
        <w:rPr>
          <w:rFonts w:ascii="Traditional Arabic" w:hAnsi="Traditional Arabic" w:cs="Traditional Arabic" w:hint="cs"/>
          <w:sz w:val="36"/>
          <w:szCs w:val="36"/>
          <w:rtl/>
        </w:rPr>
        <w:t>،</w:t>
      </w:r>
      <w:r w:rsidRPr="000170AF">
        <w:rPr>
          <w:rStyle w:val="EndnoteReference"/>
          <w:rFonts w:ascii="Traditional Arabic" w:hAnsi="Traditional Arabic" w:cs="Traditional Arabic"/>
          <w:color w:val="FFFFFF" w:themeColor="background1"/>
          <w:sz w:val="36"/>
          <w:szCs w:val="36"/>
          <w:rtl/>
        </w:rPr>
        <w:endnoteReference w:id="6"/>
      </w:r>
      <w:r w:rsidRPr="00F32868">
        <w:rPr>
          <w:rFonts w:ascii="Traditional Arabic" w:hAnsi="Traditional Arabic" w:cs="Traditional Arabic"/>
          <w:sz w:val="36"/>
          <w:szCs w:val="36"/>
          <w:rtl/>
        </w:rPr>
        <w:t>ويمكن إيجاز هذه الأنواع بما يلي:</w:t>
      </w:r>
    </w:p>
    <w:p w:rsidR="00F32868" w:rsidRDefault="003B4B80" w:rsidP="00F32868">
      <w:pPr>
        <w:numPr>
          <w:ilvl w:val="0"/>
          <w:numId w:val="2"/>
        </w:numPr>
        <w:autoSpaceDE w:val="0"/>
        <w:autoSpaceDN w:val="0"/>
        <w:bidi/>
        <w:adjustRightInd w:val="0"/>
        <w:jc w:val="both"/>
        <w:rPr>
          <w:rFonts w:ascii="Traditional Arabic" w:hAnsi="Traditional Arabic" w:cs="Traditional Arabic" w:hint="cs"/>
          <w:sz w:val="36"/>
          <w:szCs w:val="36"/>
        </w:rPr>
      </w:pPr>
      <w:r w:rsidRPr="00F32868">
        <w:rPr>
          <w:rFonts w:ascii="Traditional Arabic" w:hAnsi="Traditional Arabic" w:cs="Traditional Arabic"/>
          <w:sz w:val="36"/>
          <w:szCs w:val="36"/>
          <w:rtl/>
        </w:rPr>
        <w:t>الخطب الدينية: وركيزتها الموعظة الحسنة والتذكير بالله وبيان أحكام الشريعة وتقوية الإيمان، كخطب الجمعة والعيدين والاستسقاء.</w:t>
      </w:r>
    </w:p>
    <w:p w:rsidR="003B4B80" w:rsidRPr="00F32868" w:rsidRDefault="003B4B80" w:rsidP="00F32868">
      <w:pPr>
        <w:numPr>
          <w:ilvl w:val="0"/>
          <w:numId w:val="2"/>
        </w:numPr>
        <w:autoSpaceDE w:val="0"/>
        <w:autoSpaceDN w:val="0"/>
        <w:bidi/>
        <w:adjustRightInd w:val="0"/>
        <w:jc w:val="both"/>
        <w:rPr>
          <w:rFonts w:ascii="Traditional Arabic" w:hAnsi="Traditional Arabic" w:cs="Traditional Arabic"/>
          <w:sz w:val="36"/>
          <w:szCs w:val="36"/>
        </w:rPr>
      </w:pPr>
      <w:r w:rsidRPr="00F32868">
        <w:rPr>
          <w:rFonts w:ascii="Traditional Arabic" w:hAnsi="Traditional Arabic" w:cs="Traditional Arabic"/>
          <w:sz w:val="36"/>
          <w:szCs w:val="36"/>
          <w:rtl/>
        </w:rPr>
        <w:t xml:space="preserve">الخطب الاجتماعية: وهي التي تُلقى في المحافلِ العامةِ، وأغراضها التكريم أو التهنئة أو علاج مشكلة معينة ونحو ذلك، وكثيرا ما تُلقى الخطب عند خِطْبَة النكاح.  </w:t>
      </w:r>
    </w:p>
    <w:p w:rsidR="003B4B80" w:rsidRPr="00F32868" w:rsidRDefault="003B4B80" w:rsidP="00F32868">
      <w:pPr>
        <w:numPr>
          <w:ilvl w:val="0"/>
          <w:numId w:val="2"/>
        </w:numPr>
        <w:autoSpaceDE w:val="0"/>
        <w:autoSpaceDN w:val="0"/>
        <w:bidi/>
        <w:adjustRightInd w:val="0"/>
        <w:jc w:val="both"/>
        <w:rPr>
          <w:rFonts w:ascii="Traditional Arabic" w:hAnsi="Traditional Arabic" w:cs="Traditional Arabic"/>
          <w:sz w:val="36"/>
          <w:szCs w:val="36"/>
        </w:rPr>
      </w:pPr>
      <w:r w:rsidRPr="00F32868">
        <w:rPr>
          <w:rFonts w:ascii="Traditional Arabic" w:hAnsi="Traditional Arabic" w:cs="Traditional Arabic"/>
          <w:sz w:val="36"/>
          <w:szCs w:val="36"/>
          <w:rtl/>
        </w:rPr>
        <w:t xml:space="preserve">الخطب العسكرية: وتلقى في ميادين القتال، ويتولاها القادة غالبا؛ حيث يُرَغِّبُون الجنودَ في القتالِ ويُبَيِّنون لهم منازلَ الشهداءِ وما أعدَّ الله لهم من الكرامةِ. </w:t>
      </w:r>
    </w:p>
    <w:p w:rsidR="003B4B80" w:rsidRPr="00F32868" w:rsidRDefault="003B4B80" w:rsidP="00F32868">
      <w:pPr>
        <w:numPr>
          <w:ilvl w:val="0"/>
          <w:numId w:val="2"/>
        </w:numPr>
        <w:autoSpaceDE w:val="0"/>
        <w:autoSpaceDN w:val="0"/>
        <w:bidi/>
        <w:adjustRightInd w:val="0"/>
        <w:jc w:val="both"/>
        <w:rPr>
          <w:rFonts w:ascii="Traditional Arabic" w:hAnsi="Traditional Arabic" w:cs="Traditional Arabic"/>
          <w:sz w:val="36"/>
          <w:szCs w:val="36"/>
        </w:rPr>
      </w:pPr>
      <w:r w:rsidRPr="00F32868">
        <w:rPr>
          <w:rFonts w:ascii="Traditional Arabic" w:hAnsi="Traditional Arabic" w:cs="Traditional Arabic"/>
          <w:sz w:val="36"/>
          <w:szCs w:val="36"/>
          <w:rtl/>
        </w:rPr>
        <w:t>الخطب السياسية: ويلقيها في الغالب الزعماءُ والسادةُ في المجالسِ النيابيةِ أو أمام شعوبهم، ولها أغراض متنوعة.</w:t>
      </w:r>
    </w:p>
    <w:p w:rsidR="003B4B80" w:rsidRPr="00F32868" w:rsidRDefault="003B4B80" w:rsidP="003B4B80">
      <w:pPr>
        <w:numPr>
          <w:ilvl w:val="0"/>
          <w:numId w:val="2"/>
        </w:numPr>
        <w:autoSpaceDE w:val="0"/>
        <w:autoSpaceDN w:val="0"/>
        <w:bidi/>
        <w:adjustRightInd w:val="0"/>
        <w:spacing w:after="240"/>
        <w:jc w:val="both"/>
        <w:rPr>
          <w:rFonts w:ascii="Traditional Arabic" w:hAnsi="Traditional Arabic" w:cs="Traditional Arabic"/>
          <w:sz w:val="36"/>
          <w:szCs w:val="36"/>
        </w:rPr>
      </w:pPr>
      <w:r w:rsidRPr="00F32868">
        <w:rPr>
          <w:rFonts w:ascii="Traditional Arabic" w:hAnsi="Traditional Arabic" w:cs="Traditional Arabic"/>
          <w:sz w:val="36"/>
          <w:szCs w:val="36"/>
          <w:rtl/>
        </w:rPr>
        <w:t>الخطب القضائية: وتكون في المحاكم والدوائر القضائية، ويتولاها الخصوم والمحامون والنواب ونحوهم.</w:t>
      </w:r>
    </w:p>
    <w:p w:rsidR="003B4B80" w:rsidRPr="00F32868" w:rsidRDefault="003B4B80" w:rsidP="00F32868">
      <w:pPr>
        <w:autoSpaceDE w:val="0"/>
        <w:autoSpaceDN w:val="0"/>
        <w:bidi/>
        <w:adjustRightInd w:val="0"/>
        <w:spacing w:after="240"/>
        <w:jc w:val="both"/>
        <w:rPr>
          <w:rFonts w:ascii="Traditional Arabic" w:hAnsi="Traditional Arabic" w:cs="Traditional Arabic"/>
          <w:sz w:val="36"/>
          <w:szCs w:val="36"/>
          <w:rtl/>
        </w:rPr>
      </w:pPr>
      <w:r w:rsidRPr="00F32868">
        <w:rPr>
          <w:rFonts w:ascii="Traditional Arabic" w:hAnsi="Traditional Arabic" w:cs="Traditional Arabic"/>
          <w:sz w:val="36"/>
          <w:szCs w:val="36"/>
          <w:rtl/>
        </w:rPr>
        <w:t>والذي يهمنا من هذه الأنواع كلها هو النوع الأول</w:t>
      </w:r>
      <w:r w:rsidR="00F32868">
        <w:rPr>
          <w:rFonts w:ascii="Traditional Arabic" w:hAnsi="Traditional Arabic" w:cs="Traditional Arabic" w:hint="cs"/>
          <w:sz w:val="36"/>
          <w:szCs w:val="36"/>
          <w:rtl/>
        </w:rPr>
        <w:t xml:space="preserve"> لما سبق ذكره.</w:t>
      </w:r>
    </w:p>
    <w:p w:rsidR="003B4B80" w:rsidRPr="00995110" w:rsidRDefault="003B4B80" w:rsidP="00F32868">
      <w:pPr>
        <w:autoSpaceDE w:val="0"/>
        <w:autoSpaceDN w:val="0"/>
        <w:bidi/>
        <w:adjustRightInd w:val="0"/>
        <w:spacing w:after="240"/>
        <w:rPr>
          <w:rFonts w:ascii="Traditional Arabic" w:hAnsi="Traditional Arabic" w:cs="Traditional Arabic"/>
          <w:b/>
          <w:bCs/>
          <w:sz w:val="36"/>
          <w:szCs w:val="36"/>
          <w:rtl/>
        </w:rPr>
      </w:pPr>
      <w:r w:rsidRPr="00995110">
        <w:rPr>
          <w:rFonts w:ascii="Traditional Arabic" w:hAnsi="Traditional Arabic" w:cs="Traditional Arabic"/>
          <w:b/>
          <w:bCs/>
          <w:sz w:val="36"/>
          <w:szCs w:val="36"/>
          <w:rtl/>
        </w:rPr>
        <w:t>نشأة الخطبة وتطورها</w:t>
      </w:r>
      <w:r w:rsidR="00995110" w:rsidRPr="00995110">
        <w:rPr>
          <w:rFonts w:ascii="Traditional Arabic" w:hAnsi="Traditional Arabic" w:cs="Traditional Arabic"/>
          <w:b/>
          <w:bCs/>
          <w:sz w:val="36"/>
          <w:szCs w:val="36"/>
          <w:rtl/>
        </w:rPr>
        <w:t>:</w:t>
      </w:r>
    </w:p>
    <w:p w:rsidR="003B4B80" w:rsidRPr="00995110" w:rsidRDefault="00995110" w:rsidP="00995110">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b/>
          <w:bCs/>
          <w:sz w:val="36"/>
          <w:szCs w:val="36"/>
          <w:rtl/>
        </w:rPr>
        <w:t xml:space="preserve"> </w:t>
      </w:r>
      <w:r w:rsidR="003B4B80" w:rsidRPr="00995110">
        <w:rPr>
          <w:rFonts w:ascii="Traditional Arabic" w:hAnsi="Traditional Arabic" w:cs="Traditional Arabic"/>
          <w:sz w:val="36"/>
          <w:szCs w:val="36"/>
          <w:rtl/>
        </w:rPr>
        <w:t>رُبَّما يعْجِزُ البحثُ العلمي عن الاهتداء إلى أول إنسان مارس الخَطابة؛ إلا أن هناك نصوصا دينية تُشير إلى أنها معروفةٌ لدى الإنسان من قديم الزمان. كانت الأمم تعرفها وتستخدمها كأكبر وسيلة من وسائل التأثير في جماهيرهم وإقناعهم بجدوى ما يُدْعَوْن إليه. فقد ورد على لسان أنبياء الله ورسله كلمةُ:</w:t>
      </w:r>
      <w:r w:rsidR="003B4B80" w:rsidRPr="00087517">
        <w:rPr>
          <w:rFonts w:ascii="Traditional Arabic" w:cs="DecoType Naskh Special" w:hint="cs"/>
          <w:sz w:val="36"/>
          <w:szCs w:val="36"/>
          <w:rtl/>
        </w:rPr>
        <w:t xml:space="preserve"> </w:t>
      </w:r>
      <w:r w:rsidR="003B4B80" w:rsidRPr="00995110">
        <w:rPr>
          <w:rFonts w:ascii="QCF_BSML" w:hAnsi="QCF_BSML" w:cs="QCF_BSML"/>
          <w:sz w:val="28"/>
          <w:szCs w:val="28"/>
          <w:rtl/>
        </w:rPr>
        <w:t xml:space="preserve">ﭽ </w:t>
      </w:r>
      <w:r w:rsidR="003B4B80" w:rsidRPr="00995110">
        <w:rPr>
          <w:rFonts w:ascii="QCF_P008" w:hAnsi="QCF_P008" w:cs="QCF_P008"/>
          <w:sz w:val="28"/>
          <w:szCs w:val="28"/>
          <w:rtl/>
        </w:rPr>
        <w:t>ﮒ</w:t>
      </w:r>
      <w:r w:rsidR="003B4B80" w:rsidRPr="00995110">
        <w:rPr>
          <w:rFonts w:ascii="QCF_BSML" w:hAnsi="QCF_BSML" w:cs="QCF_BSML"/>
          <w:sz w:val="28"/>
          <w:szCs w:val="28"/>
          <w:rtl/>
        </w:rPr>
        <w:t>ﭼ</w:t>
      </w:r>
      <w:r w:rsidR="003B4B80" w:rsidRPr="00995110">
        <w:rPr>
          <w:rFonts w:ascii="QCF_BSML" w:hAnsi="QCF_BSML" w:cs="DecoType Naskh Special" w:hint="cs"/>
          <w:sz w:val="28"/>
          <w:szCs w:val="28"/>
          <w:rtl/>
        </w:rPr>
        <w:t xml:space="preserve"> </w:t>
      </w:r>
      <w:r>
        <w:rPr>
          <w:rFonts w:ascii="QCF_BSML" w:hAnsi="QCF_BSML" w:cs="DecoType Naskh Special" w:hint="cs"/>
          <w:sz w:val="28"/>
          <w:szCs w:val="28"/>
          <w:rtl/>
        </w:rPr>
        <w:t xml:space="preserve"> </w:t>
      </w:r>
      <w:r w:rsidR="003B4B80" w:rsidRPr="00995110">
        <w:rPr>
          <w:rFonts w:ascii="Traditional Arabic" w:hAnsi="Traditional Arabic" w:cs="Traditional Arabic"/>
          <w:sz w:val="36"/>
          <w:szCs w:val="36"/>
          <w:rtl/>
        </w:rPr>
        <w:t>وكلمة:</w:t>
      </w:r>
      <w:r w:rsidR="003B4B80" w:rsidRPr="00087517">
        <w:rPr>
          <w:rFonts w:ascii="QCF_BSML" w:hAnsi="QCF_BSML" w:cs="DecoType Naskh Special" w:hint="cs"/>
          <w:sz w:val="36"/>
          <w:szCs w:val="36"/>
          <w:rtl/>
        </w:rPr>
        <w:t xml:space="preserve"> </w:t>
      </w:r>
      <w:r w:rsidR="003B4B80" w:rsidRPr="00995110">
        <w:rPr>
          <w:rFonts w:ascii="QCF_BSML" w:hAnsi="QCF_BSML" w:cs="QCF_BSML"/>
          <w:sz w:val="28"/>
          <w:szCs w:val="28"/>
          <w:rtl/>
        </w:rPr>
        <w:t xml:space="preserve">ﭽ </w:t>
      </w:r>
      <w:r w:rsidR="003B4B80" w:rsidRPr="00995110">
        <w:rPr>
          <w:rFonts w:ascii="QCF_P225" w:hAnsi="QCF_P225" w:cs="QCF_P225"/>
          <w:sz w:val="28"/>
          <w:szCs w:val="28"/>
          <w:rtl/>
        </w:rPr>
        <w:t>ﭑ</w:t>
      </w:r>
      <w:r w:rsidR="003B4B80" w:rsidRPr="00995110">
        <w:rPr>
          <w:rFonts w:ascii="QCF_BSML" w:hAnsi="QCF_BSML" w:cs="QCF_BSML"/>
          <w:sz w:val="28"/>
          <w:szCs w:val="28"/>
          <w:rtl/>
        </w:rPr>
        <w:t>ﭼ</w:t>
      </w:r>
      <w:r w:rsidR="003B4B80" w:rsidRPr="00995110">
        <w:rPr>
          <w:rFonts w:ascii="Arial" w:hAnsi="Arial" w:cs="Arial"/>
          <w:sz w:val="28"/>
          <w:szCs w:val="28"/>
          <w:rtl/>
        </w:rPr>
        <w:t xml:space="preserve"> </w:t>
      </w:r>
      <w:r w:rsidR="003B4B80" w:rsidRPr="00995110">
        <w:rPr>
          <w:rFonts w:ascii="Traditional Arabic" w:hAnsi="Traditional Arabic" w:cs="Traditional Arabic"/>
          <w:sz w:val="36"/>
          <w:szCs w:val="36"/>
          <w:rtl/>
        </w:rPr>
        <w:t>في 47 موضعا من القرآن الكريم، يدعون</w:t>
      </w:r>
      <w:r w:rsidR="003B4B80" w:rsidRPr="00087517">
        <w:rPr>
          <w:rFonts w:ascii="Arial" w:hAnsi="Arial" w:cs="AL-Hotham" w:hint="cs"/>
          <w:sz w:val="36"/>
          <w:szCs w:val="36"/>
          <w:rtl/>
        </w:rPr>
        <w:t xml:space="preserve"> </w:t>
      </w:r>
      <w:r w:rsidR="003B4B80" w:rsidRPr="00995110">
        <w:rPr>
          <w:rFonts w:ascii="Traditional Arabic" w:hAnsi="Traditional Arabic" w:cs="Traditional Arabic"/>
          <w:sz w:val="36"/>
          <w:szCs w:val="36"/>
          <w:rtl/>
        </w:rPr>
        <w:t xml:space="preserve">أقوامَهم </w:t>
      </w:r>
      <w:r w:rsidR="003B4B80" w:rsidRPr="00995110">
        <w:rPr>
          <w:rFonts w:ascii="Traditional Arabic" w:hAnsi="Traditional Arabic" w:cs="Traditional Arabic"/>
          <w:sz w:val="36"/>
          <w:szCs w:val="36"/>
          <w:rtl/>
        </w:rPr>
        <w:lastRenderedPageBreak/>
        <w:t>–زُرافات ووُحدانا- إلى طاعة الله وتوحيده، مستخدمين هذه الوسيلة الإعلامية الخالدة.إن هذا يعنى أن الخطبةَ قديمةُ العهد، وأنها وظيفةُ الأنبياء والمرسلين.</w:t>
      </w:r>
    </w:p>
    <w:p w:rsidR="003B4B80" w:rsidRPr="00995110" w:rsidRDefault="003B4B80" w:rsidP="003B4B80">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وتحفظ لنا كتب التاريخ أيضا أن الأمم القديمة كالآشوريين والمصريين والرومان واليونان قد مارسوا الخطابةَ وزاولوها لأغراض دينية أو اجتماعية أو سياسية أو عسكرية. وقد تحسَّنتْ وازدهرت جدا لدى الأخيرتين، وإن كان اليونان أسبق من الرومان بأمد بعيدٍ</w:t>
      </w:r>
      <w:r w:rsidR="000170AF" w:rsidRPr="000170AF">
        <w:rPr>
          <w:rFonts w:ascii="Traditional Arabic" w:hAnsi="Traditional Arabic" w:cs="Traditional Arabic" w:hint="cs"/>
          <w:sz w:val="36"/>
          <w:szCs w:val="36"/>
          <w:vertAlign w:val="superscript"/>
          <w:rtl/>
        </w:rPr>
        <w:t>7</w:t>
      </w:r>
      <w:r w:rsidR="000170AF">
        <w:rPr>
          <w:rFonts w:ascii="Traditional Arabic" w:hAnsi="Traditional Arabic" w:cs="Traditional Arabic" w:hint="cs"/>
          <w:sz w:val="36"/>
          <w:szCs w:val="36"/>
          <w:rtl/>
        </w:rPr>
        <w:t xml:space="preserve">. </w:t>
      </w:r>
      <w:r w:rsidRPr="000170AF">
        <w:rPr>
          <w:rStyle w:val="EndnoteReference"/>
          <w:rFonts w:ascii="Traditional Arabic" w:hAnsi="Traditional Arabic" w:cs="Traditional Arabic"/>
          <w:color w:val="FFFFFF" w:themeColor="background1"/>
          <w:sz w:val="36"/>
          <w:szCs w:val="36"/>
          <w:rtl/>
        </w:rPr>
        <w:endnoteReference w:id="7"/>
      </w:r>
      <w:r w:rsidRPr="000170AF">
        <w:rPr>
          <w:rFonts w:ascii="Traditional Arabic" w:hAnsi="Traditional Arabic" w:cs="Traditional Arabic"/>
          <w:color w:val="FFFFFF" w:themeColor="background1"/>
          <w:sz w:val="36"/>
          <w:szCs w:val="36"/>
          <w:rtl/>
        </w:rPr>
        <w:t>.</w:t>
      </w:r>
    </w:p>
    <w:p w:rsidR="003B4B80" w:rsidRPr="00995110" w:rsidRDefault="00C34422" w:rsidP="00C34422">
      <w:pPr>
        <w:autoSpaceDE w:val="0"/>
        <w:autoSpaceDN w:val="0"/>
        <w:bidi/>
        <w:adjustRightInd w:val="0"/>
        <w:spacing w:after="240"/>
        <w:jc w:val="both"/>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 </w:t>
      </w:r>
      <w:r w:rsidR="003B4B80" w:rsidRPr="00995110">
        <w:rPr>
          <w:rFonts w:ascii="Traditional Arabic" w:hAnsi="Traditional Arabic" w:cs="Traditional Arabic"/>
          <w:sz w:val="36"/>
          <w:szCs w:val="36"/>
          <w:rtl/>
        </w:rPr>
        <w:t>ولم يكن نصيبُ العربِ من الخطابةِ بأقلَّ من نصيبِ غيرهم، بل كانوا أوفر حظاًّ وأكبر نصيبا. فقد ازدهرت الخطابة الأدبية عندهم قبل الإسلام، وقدكان كل شيء عندهم يؤهِّل لهذا الازدهار؛ لما أوتوا من ملكة بيانية عجيبة، وما فُطِرُوا عليه من خلابة ولسَن وبيان وفصاحة وحضور بديهة، إضافة إلى ما كانوا يعيشونه من منازعات وخصومات بينهم، والدعوة إلى الحرب مرة وإلى السلم مرة أخرى. وقد كانوا يتخذون من أسواقهم ومجالس أمرائهم حلباتٍ للصراع الخطابي والبيان الأدبي</w:t>
      </w:r>
      <w:r w:rsidR="00AF75F3" w:rsidRPr="00AF75F3">
        <w:rPr>
          <w:rFonts w:ascii="Traditional Arabic" w:hAnsi="Traditional Arabic" w:cs="Traditional Arabic" w:hint="cs"/>
          <w:sz w:val="36"/>
          <w:szCs w:val="36"/>
          <w:vertAlign w:val="superscript"/>
          <w:rtl/>
        </w:rPr>
        <w:t>8</w:t>
      </w:r>
      <w:r w:rsidR="00AF75F3">
        <w:rPr>
          <w:rFonts w:ascii="Traditional Arabic" w:hAnsi="Traditional Arabic" w:cs="Traditional Arabic" w:hint="cs"/>
          <w:sz w:val="36"/>
          <w:szCs w:val="36"/>
          <w:rtl/>
        </w:rPr>
        <w:t>.</w:t>
      </w:r>
      <w:r w:rsidR="003B4B80" w:rsidRPr="00AF75F3">
        <w:rPr>
          <w:rStyle w:val="EndnoteReference"/>
          <w:rFonts w:ascii="Traditional Arabic" w:hAnsi="Traditional Arabic" w:cs="Traditional Arabic"/>
          <w:color w:val="FFFFFF" w:themeColor="background1"/>
          <w:sz w:val="36"/>
          <w:szCs w:val="36"/>
          <w:rtl/>
        </w:rPr>
        <w:endnoteReference w:id="8"/>
      </w:r>
      <w:r w:rsidR="003B4B80" w:rsidRPr="00AF75F3">
        <w:rPr>
          <w:rFonts w:ascii="Traditional Arabic" w:hAnsi="Traditional Arabic" w:cs="Traditional Arabic"/>
          <w:color w:val="FFFFFF" w:themeColor="background1"/>
          <w:sz w:val="36"/>
          <w:szCs w:val="36"/>
          <w:rtl/>
        </w:rPr>
        <w:t>.</w:t>
      </w:r>
    </w:p>
    <w:p w:rsidR="003B4B80" w:rsidRPr="00995110" w:rsidRDefault="003B4B80" w:rsidP="00AF75F3">
      <w:pPr>
        <w:autoSpaceDE w:val="0"/>
        <w:autoSpaceDN w:val="0"/>
        <w:bidi/>
        <w:adjustRightInd w:val="0"/>
        <w:spacing w:after="240"/>
        <w:ind w:left="1080" w:right="1080"/>
        <w:jc w:val="both"/>
        <w:rPr>
          <w:rFonts w:ascii="Traditional Arabic" w:hAnsi="Traditional Arabic" w:cs="Traditional Arabic"/>
          <w:color w:val="000000"/>
          <w:sz w:val="36"/>
          <w:szCs w:val="36"/>
          <w:rtl/>
        </w:rPr>
      </w:pPr>
      <w:r w:rsidRPr="00AF75F3">
        <w:rPr>
          <w:rFonts w:ascii="Traditional Arabic" w:hAnsi="Traditional Arabic" w:cs="Traditional Arabic"/>
          <w:sz w:val="34"/>
          <w:szCs w:val="34"/>
          <w:rtl/>
        </w:rPr>
        <w:t>"</w:t>
      </w:r>
      <w:r w:rsidRPr="00AF75F3">
        <w:rPr>
          <w:rFonts w:ascii="Traditional Arabic" w:hAnsi="Traditional Arabic" w:cs="Traditional Arabic"/>
          <w:color w:val="000000"/>
          <w:sz w:val="34"/>
          <w:szCs w:val="34"/>
          <w:rtl/>
        </w:rPr>
        <w:t>ولقد كان لعدد من خطباء العرب البارزين في الجاهلية دور كبير [و]جلي في إخماد الفتنة بين القبائل أو إشعالها، وكان لهم أثر واضح في المناسبات الاجتماعية من حض على القتال، وإدراك الثأر، أو الدعوة إلى رفيع الشيم، ومعالي الأخلاق، أو في خطب الوفود أو النكاح، أو المفاخرات والمبارزات الكلامية، مما جعل القبيلة تعتز بخطيبها وتفاخر به القبائلَ الأخرى تفاخرَها بشعرائها أو أشدَّ من ذلك"</w:t>
      </w:r>
      <w:r w:rsidR="00AF75F3" w:rsidRPr="00AF75F3">
        <w:rPr>
          <w:rFonts w:ascii="Traditional Arabic" w:hAnsi="Traditional Arabic" w:cs="Traditional Arabic" w:hint="cs"/>
          <w:color w:val="000000"/>
          <w:sz w:val="34"/>
          <w:szCs w:val="34"/>
          <w:vertAlign w:val="superscript"/>
          <w:rtl/>
        </w:rPr>
        <w:t>9</w:t>
      </w:r>
      <w:r w:rsidR="00AF75F3" w:rsidRPr="00AF75F3">
        <w:rPr>
          <w:rFonts w:ascii="Traditional Arabic" w:hAnsi="Traditional Arabic" w:cs="Traditional Arabic" w:hint="cs"/>
          <w:color w:val="000000"/>
          <w:sz w:val="34"/>
          <w:szCs w:val="34"/>
          <w:rtl/>
        </w:rPr>
        <w:t>.</w:t>
      </w:r>
      <w:r w:rsidR="00AF75F3">
        <w:rPr>
          <w:rFonts w:ascii="Traditional Arabic" w:hAnsi="Traditional Arabic" w:cs="Traditional Arabic" w:hint="cs"/>
          <w:color w:val="000000"/>
          <w:sz w:val="36"/>
          <w:szCs w:val="36"/>
          <w:rtl/>
        </w:rPr>
        <w:t xml:space="preserve"> </w:t>
      </w:r>
      <w:r w:rsidRPr="00AF75F3">
        <w:rPr>
          <w:rStyle w:val="EndnoteReference"/>
          <w:rFonts w:ascii="Traditional Arabic" w:hAnsi="Traditional Arabic" w:cs="Traditional Arabic"/>
          <w:color w:val="FFFFFF" w:themeColor="background1"/>
          <w:sz w:val="36"/>
          <w:szCs w:val="36"/>
          <w:rtl/>
        </w:rPr>
        <w:endnoteReference w:id="9"/>
      </w:r>
      <w:r w:rsidRPr="00AF75F3">
        <w:rPr>
          <w:rFonts w:ascii="Traditional Arabic" w:hAnsi="Traditional Arabic" w:cs="Traditional Arabic"/>
          <w:color w:val="FFFFFF" w:themeColor="background1"/>
          <w:sz w:val="36"/>
          <w:szCs w:val="36"/>
          <w:rtl/>
        </w:rPr>
        <w:t>.</w:t>
      </w:r>
    </w:p>
    <w:p w:rsidR="003B4B80" w:rsidRPr="00995110" w:rsidRDefault="003B4B80" w:rsidP="00AF75F3">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 xml:space="preserve"> ومن أولئك الخطباء البارزين الذين لمعتْ أسماؤهم في ممارسة الخطابة قُسّ بن ساعدة الإيادي الذي تشير بعضُ الروايات إلى أن النبي –صلى الله عليه وسلم- استمع إلى خطبته قبل البعثة، ونالت إعجابَه.</w:t>
      </w:r>
    </w:p>
    <w:p w:rsidR="003B4B80" w:rsidRPr="00995110" w:rsidRDefault="003B4B80" w:rsidP="00995110">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lastRenderedPageBreak/>
        <w:t xml:space="preserve">وكان </w:t>
      </w:r>
      <w:r w:rsidR="00995110">
        <w:rPr>
          <w:rFonts w:ascii="Traditional Arabic" w:hAnsi="Traditional Arabic" w:cs="Traditional Arabic"/>
          <w:sz w:val="36"/>
          <w:szCs w:val="36"/>
          <w:rtl/>
        </w:rPr>
        <w:t>من عادتهم أن يخطب الخطيب</w:t>
      </w:r>
      <w:r w:rsidR="00995110">
        <w:rPr>
          <w:rFonts w:ascii="Traditional Arabic" w:hAnsi="Traditional Arabic" w:cs="Traditional Arabic" w:hint="cs"/>
          <w:sz w:val="36"/>
          <w:szCs w:val="36"/>
          <w:rtl/>
        </w:rPr>
        <w:t xml:space="preserve">، في غير خطبة الزواج، </w:t>
      </w:r>
      <w:r w:rsidRPr="00995110">
        <w:rPr>
          <w:rFonts w:ascii="Traditional Arabic" w:hAnsi="Traditional Arabic" w:cs="Traditional Arabic"/>
          <w:sz w:val="36"/>
          <w:szCs w:val="36"/>
          <w:rtl/>
        </w:rPr>
        <w:t>قائما على منبر أو مرتفع من الأرض لإبعاد مدى صوته والتأثير بشخصه وإظهار ملامح وجهه وحركات جوارحه. كما كان من عادتهم أيضا أن يعتمد الخطيب على عصا أو قناة أو قوس أو نحوها</w:t>
      </w:r>
      <w:r w:rsidR="00AF75F3" w:rsidRPr="00AF75F3">
        <w:rPr>
          <w:rFonts w:ascii="Traditional Arabic" w:hAnsi="Traditional Arabic" w:cs="Traditional Arabic" w:hint="cs"/>
          <w:sz w:val="36"/>
          <w:szCs w:val="36"/>
          <w:vertAlign w:val="superscript"/>
          <w:rtl/>
        </w:rPr>
        <w:t>10</w:t>
      </w:r>
      <w:r w:rsidR="00AF75F3">
        <w:rPr>
          <w:rFonts w:ascii="Traditional Arabic" w:hAnsi="Traditional Arabic" w:cs="Traditional Arabic" w:hint="cs"/>
          <w:sz w:val="36"/>
          <w:szCs w:val="36"/>
          <w:rtl/>
        </w:rPr>
        <w:t>.</w:t>
      </w:r>
      <w:r w:rsidRPr="00AF75F3">
        <w:rPr>
          <w:rStyle w:val="EndnoteReference"/>
          <w:rFonts w:ascii="Traditional Arabic" w:hAnsi="Traditional Arabic" w:cs="Traditional Arabic"/>
          <w:color w:val="FFFFFF" w:themeColor="background1"/>
          <w:sz w:val="36"/>
          <w:szCs w:val="36"/>
          <w:rtl/>
        </w:rPr>
        <w:endnoteReference w:id="10"/>
      </w:r>
      <w:r w:rsidRPr="00AF75F3">
        <w:rPr>
          <w:rFonts w:ascii="Traditional Arabic" w:hAnsi="Traditional Arabic" w:cs="Traditional Arabic"/>
          <w:color w:val="FFFFFF" w:themeColor="background1"/>
          <w:sz w:val="36"/>
          <w:szCs w:val="36"/>
          <w:rtl/>
        </w:rPr>
        <w:t>.</w:t>
      </w:r>
    </w:p>
    <w:p w:rsidR="003B4B80" w:rsidRPr="00087517" w:rsidRDefault="003B4B80" w:rsidP="00C34422">
      <w:pPr>
        <w:autoSpaceDE w:val="0"/>
        <w:autoSpaceDN w:val="0"/>
        <w:bidi/>
        <w:adjustRightInd w:val="0"/>
        <w:spacing w:after="240"/>
        <w:jc w:val="both"/>
        <w:rPr>
          <w:rFonts w:ascii="Arial" w:hAnsi="Arial" w:cs="AL-Hotham" w:hint="cs"/>
          <w:sz w:val="36"/>
          <w:szCs w:val="36"/>
          <w:rtl/>
        </w:rPr>
      </w:pPr>
      <w:r w:rsidRPr="00995110">
        <w:rPr>
          <w:rFonts w:ascii="Traditional Arabic" w:hAnsi="Traditional Arabic" w:cs="Traditional Arabic"/>
          <w:sz w:val="36"/>
          <w:szCs w:val="36"/>
          <w:rtl/>
        </w:rPr>
        <w:t>وظل العرب يتوارثون الخطبةَ جيلاً بعد جيل؛ حتى جاء الإسلام، فأعلى من قدرها، ورفع من شأنها، وأكسبها قداسة لم يكن لها من قبل. ففي أول الأمر، كانت الدعوةُ إلى الإسلام سِراًّ، وعلى مستوى الأفراد. ولما نزل قوله تعالى:</w:t>
      </w:r>
      <w:r w:rsidRPr="00087517">
        <w:rPr>
          <w:rFonts w:ascii="Traditional Arabic" w:cs="DecoType Naskh Special" w:hint="cs"/>
          <w:sz w:val="36"/>
          <w:szCs w:val="36"/>
          <w:rtl/>
        </w:rPr>
        <w:t xml:space="preserve"> </w:t>
      </w:r>
      <w:r w:rsidRPr="00087517">
        <w:rPr>
          <w:rFonts w:ascii="QCF_BSML" w:hAnsi="QCF_BSML" w:cs="QCF_BSML"/>
          <w:color w:val="000000"/>
          <w:sz w:val="36"/>
          <w:szCs w:val="36"/>
          <w:rtl/>
        </w:rPr>
        <w:t xml:space="preserve"> </w:t>
      </w:r>
      <w:r w:rsidRPr="00087517">
        <w:rPr>
          <w:rFonts w:ascii="QCF_BSML" w:hAnsi="QCF_BSML" w:cs="QCF_BSML"/>
          <w:sz w:val="32"/>
          <w:szCs w:val="32"/>
          <w:rtl/>
        </w:rPr>
        <w:t>ﭽ</w:t>
      </w:r>
      <w:r w:rsidRPr="00087517">
        <w:rPr>
          <w:rFonts w:ascii="QCF_P267" w:hAnsi="QCF_P267" w:cs="QCF_P267"/>
          <w:sz w:val="32"/>
          <w:szCs w:val="32"/>
          <w:rtl/>
        </w:rPr>
        <w:t>ﭞ  ﭟ  ﭠ  ﭡ   ﭢ  ﭣ  ﭤ</w:t>
      </w:r>
      <w:r w:rsidRPr="00087517">
        <w:rPr>
          <w:rFonts w:ascii="QCF_BSML" w:hAnsi="QCF_BSML" w:cs="QCF_BSML"/>
          <w:sz w:val="32"/>
          <w:szCs w:val="32"/>
          <w:rtl/>
        </w:rPr>
        <w:t>ﭼ</w:t>
      </w:r>
      <w:r w:rsidRPr="00087517">
        <w:rPr>
          <w:rFonts w:ascii="Arial" w:hAnsi="Arial" w:cs="Arial"/>
          <w:sz w:val="32"/>
          <w:szCs w:val="32"/>
          <w:rtl/>
        </w:rPr>
        <w:t xml:space="preserve"> </w:t>
      </w:r>
      <w:r w:rsidRPr="00995110">
        <w:rPr>
          <w:rFonts w:asciiTheme="minorBidi" w:hAnsiTheme="minorBidi" w:cstheme="minorBidi"/>
          <w:sz w:val="28"/>
          <w:szCs w:val="28"/>
          <w:rtl/>
        </w:rPr>
        <w:t>[الحجر: ٩٤]</w:t>
      </w:r>
      <w:r w:rsidRPr="00995110">
        <w:rPr>
          <w:rFonts w:ascii="Arial" w:hAnsi="Arial" w:cs="DecoType Naskh Special" w:hint="cs"/>
          <w:sz w:val="32"/>
          <w:szCs w:val="32"/>
          <w:rtl/>
        </w:rPr>
        <w:t xml:space="preserve"> </w:t>
      </w:r>
      <w:r w:rsidRPr="00995110">
        <w:rPr>
          <w:rFonts w:ascii="Traditional Arabic" w:hAnsi="Traditional Arabic" w:cs="Traditional Arabic"/>
          <w:sz w:val="36"/>
          <w:szCs w:val="36"/>
          <w:rtl/>
        </w:rPr>
        <w:t>كان إيذاناً بميلادِ الخطبة الإسلامية.</w:t>
      </w:r>
    </w:p>
    <w:p w:rsidR="003B4B80" w:rsidRPr="00995110" w:rsidRDefault="003B4B80" w:rsidP="00AF75F3">
      <w:pPr>
        <w:autoSpaceDE w:val="0"/>
        <w:autoSpaceDN w:val="0"/>
        <w:bidi/>
        <w:adjustRightInd w:val="0"/>
        <w:spacing w:after="240"/>
        <w:jc w:val="both"/>
        <w:rPr>
          <w:rFonts w:ascii="Traditional Arabic" w:hAnsi="Traditional Arabic" w:cs="Traditional Arabic"/>
          <w:color w:val="000000"/>
          <w:sz w:val="36"/>
          <w:szCs w:val="36"/>
          <w:rtl/>
        </w:rPr>
      </w:pPr>
      <w:r w:rsidRPr="00995110">
        <w:rPr>
          <w:rFonts w:ascii="Traditional Arabic" w:hAnsi="Traditional Arabic" w:cs="Traditional Arabic"/>
          <w:sz w:val="36"/>
          <w:szCs w:val="36"/>
          <w:rtl/>
        </w:rPr>
        <w:t>ويذكرُ المؤرخون أن أول خطبة خطبها النبي –صلى الله عليه وسلم- بمكة كانت على إثر نزول تلك الآية الكريمة</w:t>
      </w:r>
      <w:r w:rsidR="00AF75F3" w:rsidRPr="00AF75F3">
        <w:rPr>
          <w:rFonts w:ascii="Traditional Arabic" w:hAnsi="Traditional Arabic" w:cs="Traditional Arabic" w:hint="cs"/>
          <w:sz w:val="36"/>
          <w:szCs w:val="36"/>
          <w:vertAlign w:val="superscript"/>
          <w:rtl/>
        </w:rPr>
        <w:t>11</w:t>
      </w:r>
      <w:r w:rsidR="00AF75F3" w:rsidRPr="00995110">
        <w:rPr>
          <w:rFonts w:ascii="Traditional Arabic" w:hAnsi="Traditional Arabic" w:cs="Traditional Arabic"/>
          <w:sz w:val="36"/>
          <w:szCs w:val="36"/>
          <w:rtl/>
        </w:rPr>
        <w:t>؛</w:t>
      </w:r>
      <w:r w:rsidRPr="00AF75F3">
        <w:rPr>
          <w:rStyle w:val="EndnoteReference"/>
          <w:rFonts w:ascii="Traditional Arabic" w:hAnsi="Traditional Arabic" w:cs="Traditional Arabic"/>
          <w:color w:val="FFFFFF" w:themeColor="background1"/>
          <w:sz w:val="36"/>
          <w:szCs w:val="36"/>
          <w:rtl/>
        </w:rPr>
        <w:endnoteReference w:id="11"/>
      </w:r>
      <w:r w:rsidRPr="00995110">
        <w:rPr>
          <w:rFonts w:ascii="Traditional Arabic" w:hAnsi="Traditional Arabic" w:cs="Traditional Arabic"/>
          <w:sz w:val="36"/>
          <w:szCs w:val="36"/>
          <w:rtl/>
        </w:rPr>
        <w:t>حيث صعد على الصفا ودعا قومه، حمِد الله وأثنى عليه ثم قال:</w:t>
      </w:r>
      <w:r w:rsidRPr="00995110">
        <w:rPr>
          <w:rFonts w:ascii="Traditional Arabic" w:hAnsi="Traditional Arabic" w:cs="Traditional Arabic"/>
          <w:color w:val="000000"/>
          <w:sz w:val="36"/>
          <w:szCs w:val="36"/>
          <w:rtl/>
        </w:rPr>
        <w:t xml:space="preserve"> </w:t>
      </w:r>
    </w:p>
    <w:p w:rsidR="003B4B80" w:rsidRPr="00AF75F3" w:rsidRDefault="003B4B80" w:rsidP="00AF75F3">
      <w:pPr>
        <w:autoSpaceDE w:val="0"/>
        <w:autoSpaceDN w:val="0"/>
        <w:bidi/>
        <w:adjustRightInd w:val="0"/>
        <w:spacing w:after="240"/>
        <w:ind w:left="1080" w:right="1080"/>
        <w:jc w:val="both"/>
        <w:rPr>
          <w:rFonts w:ascii="Traditional Arabic" w:hAnsi="Traditional Arabic" w:cs="Traditional Arabic"/>
          <w:color w:val="000000"/>
          <w:sz w:val="34"/>
          <w:szCs w:val="34"/>
          <w:rtl/>
        </w:rPr>
      </w:pPr>
      <w:r w:rsidRPr="00AF75F3">
        <w:rPr>
          <w:rFonts w:ascii="Traditional Arabic" w:hAnsi="Traditional Arabic" w:cs="Traditional Arabic"/>
          <w:color w:val="000000"/>
          <w:sz w:val="34"/>
          <w:szCs w:val="34"/>
          <w:rtl/>
        </w:rPr>
        <w:t>"إن الرائد لا يكذب أهله، والله لو كذبتُ الناسَ جميعا ما كذبتكم، ولو غررتُ الناسَ جميعا ما غررتكم. والله الذي لا إله إلا هو إني لرسول الله إليكم خاصة، وإلى الناس كافة. والله لتموتُنَّ كما تنامون، ولتبعثن كما تستيقظون، ولتحاسبُنَّ بما تعملون، ولتجزوُنَّ بالإحسان إحسانا، وبالسوء سوءا، وإنها لجنةٌ أبدا أو لنارٌ أبدا".</w:t>
      </w:r>
    </w:p>
    <w:p w:rsidR="003B4B80" w:rsidRPr="00087517" w:rsidRDefault="003B4B80" w:rsidP="003B4B80">
      <w:pPr>
        <w:autoSpaceDE w:val="0"/>
        <w:autoSpaceDN w:val="0"/>
        <w:bidi/>
        <w:adjustRightInd w:val="0"/>
        <w:spacing w:after="240"/>
        <w:jc w:val="both"/>
        <w:rPr>
          <w:rFonts w:ascii="Arial" w:hAnsi="Arial" w:cs="DecoType Naskh Special" w:hint="cs"/>
          <w:sz w:val="36"/>
          <w:szCs w:val="36"/>
          <w:rtl/>
        </w:rPr>
      </w:pPr>
      <w:r w:rsidRPr="00995110">
        <w:rPr>
          <w:rFonts w:ascii="Traditional Arabic" w:hAnsi="Traditional Arabic" w:cs="Traditional Arabic"/>
          <w:sz w:val="36"/>
          <w:szCs w:val="36"/>
          <w:rtl/>
        </w:rPr>
        <w:t>لقد اتخذتِ الخطبة في الإسلام اتجاها جديدا؛ حيث أدخل فيها تعديلات، وتم استبعادُ كلِّ ما يتنافى مع الروح الإسلامية. فقد نزل فرض الجمعةِ بعد الهجرة إلى المدينة ، وكان من شرطها أن يتقدمها خطبتان يفصل بينهما جلوس قصير، فأصبح الواحد من المسلمين يستمع في السنة الواحدة إلى 52 خطبة بشكل منتظم. كما أضحتْ تفتتح بالحمد والثناء على الله، وكاد ينحسر السجعُ عنها تماما؛ لأنه من التكلف الذي نفاه الله عن نبيه بقوله:</w:t>
      </w:r>
      <w:r w:rsidR="00AF75F3">
        <w:rPr>
          <w:rFonts w:ascii="Traditional Arabic" w:hAnsi="Traditional Arabic" w:cs="Traditional Arabic" w:hint="cs"/>
          <w:sz w:val="36"/>
          <w:szCs w:val="36"/>
          <w:rtl/>
        </w:rPr>
        <w:t xml:space="preserve"> </w:t>
      </w:r>
      <w:r w:rsidRPr="00087517">
        <w:rPr>
          <w:rFonts w:ascii="QCF_BSML" w:hAnsi="QCF_BSML" w:cs="QCF_BSML"/>
          <w:color w:val="000000"/>
          <w:sz w:val="36"/>
          <w:szCs w:val="36"/>
          <w:rtl/>
        </w:rPr>
        <w:t xml:space="preserve"> </w:t>
      </w:r>
      <w:r w:rsidRPr="00995110">
        <w:rPr>
          <w:rFonts w:ascii="QCF_BSML" w:hAnsi="QCF_BSML" w:cs="QCF_BSML"/>
          <w:sz w:val="28"/>
          <w:szCs w:val="28"/>
          <w:rtl/>
        </w:rPr>
        <w:t>ﭽ</w:t>
      </w:r>
      <w:r w:rsidRPr="00995110">
        <w:rPr>
          <w:rFonts w:ascii="QCF_P458" w:hAnsi="QCF_P458" w:cs="QCF_P458"/>
          <w:sz w:val="28"/>
          <w:szCs w:val="28"/>
          <w:rtl/>
        </w:rPr>
        <w:t xml:space="preserve">ﭞ  ﭟ  ﭠ   ﭡ  ﭢ  ﭣ    ﭤ     ﭥ   ﭦ    ﭧ        ﭨ  </w:t>
      </w:r>
      <w:r w:rsidRPr="00995110">
        <w:rPr>
          <w:rFonts w:ascii="QCF_BSML" w:hAnsi="QCF_BSML" w:cs="QCF_BSML"/>
          <w:sz w:val="28"/>
          <w:szCs w:val="28"/>
          <w:rtl/>
        </w:rPr>
        <w:t>ﭼ</w:t>
      </w:r>
      <w:r w:rsidRPr="00995110">
        <w:rPr>
          <w:rFonts w:ascii="Arial" w:hAnsi="Arial" w:cs="Arial"/>
          <w:sz w:val="28"/>
          <w:szCs w:val="28"/>
          <w:rtl/>
        </w:rPr>
        <w:t xml:space="preserve"> </w:t>
      </w:r>
      <w:r w:rsidRPr="00995110">
        <w:rPr>
          <w:rFonts w:asciiTheme="minorBidi" w:hAnsiTheme="minorBidi" w:cstheme="minorBidi"/>
          <w:sz w:val="28"/>
          <w:szCs w:val="28"/>
          <w:rtl/>
        </w:rPr>
        <w:t>[ص: ٨٦]</w:t>
      </w:r>
      <w:r w:rsidRPr="00087517">
        <w:rPr>
          <w:rFonts w:ascii="Arial" w:hAnsi="Arial" w:cs="DecoType Naskh Special" w:hint="cs"/>
          <w:sz w:val="36"/>
          <w:szCs w:val="36"/>
          <w:rtl/>
        </w:rPr>
        <w:t>.</w:t>
      </w:r>
    </w:p>
    <w:p w:rsidR="003B4B80" w:rsidRPr="00995110" w:rsidRDefault="003B4B80" w:rsidP="003B4B80">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lastRenderedPageBreak/>
        <w:t>ولم يكتف النبي –صلى الله عليه وسلم- بمزاولة الخطبة عملياًّ، بل دعا إلى استعمالها، وثبت عنه مدحُ ما يدعو إلى الخير منها والحث عليها حتى قال: "إن من البيان لسحرا". وحين ألقى خطبته التي عُرِفَت فيما بعد بخطبة الوداع، كان صوته –صلى الله عليه وسلم- لا يصل إلى جميع من حضر ذلك الموقف، فكان بعض الصحابة يردِّدُ ما كان يقوله –صلى الله عليه وسلم- كي يصل إلى أكبر عدد ممكن.</w:t>
      </w:r>
    </w:p>
    <w:p w:rsidR="003B4B80" w:rsidRPr="00995110" w:rsidRDefault="003B4B80" w:rsidP="003B4B80">
      <w:pPr>
        <w:autoSpaceDE w:val="0"/>
        <w:autoSpaceDN w:val="0"/>
        <w:bidi/>
        <w:adjustRightInd w:val="0"/>
        <w:spacing w:after="240"/>
        <w:jc w:val="both"/>
        <w:rPr>
          <w:rFonts w:ascii="Traditional Arabic" w:hAnsi="Traditional Arabic" w:cs="Traditional Arabic"/>
          <w:color w:val="000000"/>
          <w:sz w:val="36"/>
          <w:szCs w:val="36"/>
          <w:rtl/>
        </w:rPr>
      </w:pPr>
      <w:r w:rsidRPr="00995110">
        <w:rPr>
          <w:rFonts w:ascii="Traditional Arabic" w:hAnsi="Traditional Arabic" w:cs="Traditional Arabic"/>
          <w:sz w:val="36"/>
          <w:szCs w:val="36"/>
          <w:rtl/>
        </w:rPr>
        <w:t>وقد انتهج الخلفاء الراشدون نهج نبيهم؛ فكانوا يتولَّون الخطبَ بأنفسهم في أيام الجمع والعيدين وموسم الحج الأعظم وعند أخذ العُدَّة للجهاد في سبيل الله، وكذلك عند كل مناسبة تدعو لذلك، مستلهمين آي الذكر الحكيم، ومستضيئين بالمأثور عنه –صلى الله عليه وسلم-، وقد يستنيبون عنهم غيرَهم إذا دعت الحاجة إلى ذلك. ولم يكن يدعى للخلفاء ولاة الأمر في خطبة الجمعة قبل ذلك، حتى وقع الخلاف بين علي ومعاوية –رضي الله عنهما- وكان الحق مع علي. يقول ابن خلدون –رحمه الله- "</w:t>
      </w:r>
      <w:r w:rsidRPr="00995110">
        <w:rPr>
          <w:rFonts w:ascii="Traditional Arabic" w:hAnsi="Traditional Arabic" w:cs="Traditional Arabic"/>
          <w:color w:val="000000"/>
          <w:sz w:val="36"/>
          <w:szCs w:val="36"/>
          <w:rtl/>
        </w:rPr>
        <w:t>وأول من دعا للخليفة على المنبر ابن عباس، دعا لعلي رضي الله عنهما في خطبته وهو بالبصرة عامل له عليها، قال:" اللهم انصر علياً على الحق"، واتصل العمل على ذلك فيما بعد"</w:t>
      </w:r>
      <w:r w:rsidR="00AF75F3" w:rsidRPr="00AF75F3">
        <w:rPr>
          <w:rFonts w:ascii="Traditional Arabic" w:hAnsi="Traditional Arabic" w:cs="Traditional Arabic" w:hint="cs"/>
          <w:color w:val="000000"/>
          <w:sz w:val="36"/>
          <w:szCs w:val="36"/>
          <w:vertAlign w:val="superscript"/>
          <w:rtl/>
        </w:rPr>
        <w:t>12</w:t>
      </w:r>
      <w:r w:rsidR="00AF75F3">
        <w:rPr>
          <w:rFonts w:ascii="Traditional Arabic" w:hAnsi="Traditional Arabic" w:cs="Traditional Arabic" w:hint="cs"/>
          <w:color w:val="000000"/>
          <w:sz w:val="36"/>
          <w:szCs w:val="36"/>
          <w:rtl/>
        </w:rPr>
        <w:t>.</w:t>
      </w:r>
      <w:r w:rsidRPr="00AF75F3">
        <w:rPr>
          <w:rStyle w:val="EndnoteReference"/>
          <w:rFonts w:ascii="Traditional Arabic" w:hAnsi="Traditional Arabic" w:cs="Traditional Arabic"/>
          <w:color w:val="FFFFFF" w:themeColor="background1"/>
          <w:sz w:val="36"/>
          <w:szCs w:val="36"/>
          <w:rtl/>
        </w:rPr>
        <w:endnoteReference w:id="12"/>
      </w:r>
      <w:r w:rsidRPr="00AF75F3">
        <w:rPr>
          <w:rFonts w:ascii="Traditional Arabic" w:hAnsi="Traditional Arabic" w:cs="Traditional Arabic"/>
          <w:color w:val="FFFFFF" w:themeColor="background1"/>
          <w:sz w:val="36"/>
          <w:szCs w:val="36"/>
          <w:rtl/>
        </w:rPr>
        <w:t>.</w:t>
      </w:r>
    </w:p>
    <w:p w:rsidR="003B4B80" w:rsidRPr="00087517" w:rsidRDefault="003B4B80" w:rsidP="00AF75F3">
      <w:pPr>
        <w:autoSpaceDE w:val="0"/>
        <w:autoSpaceDN w:val="0"/>
        <w:bidi/>
        <w:adjustRightInd w:val="0"/>
        <w:spacing w:after="240"/>
        <w:jc w:val="both"/>
        <w:rPr>
          <w:rFonts w:ascii="Arial" w:hAnsi="Arial" w:cs="AL-Hotham" w:hint="cs"/>
          <w:sz w:val="36"/>
          <w:szCs w:val="36"/>
          <w:rtl/>
        </w:rPr>
      </w:pPr>
      <w:r w:rsidRPr="00995110">
        <w:rPr>
          <w:rFonts w:ascii="Traditional Arabic" w:hAnsi="Traditional Arabic" w:cs="Traditional Arabic"/>
          <w:color w:val="000000"/>
          <w:sz w:val="36"/>
          <w:szCs w:val="36"/>
          <w:rtl/>
        </w:rPr>
        <w:t>فخلف من بعدهم خَلْفٌ أضاعوا الخطبةَ، وحطُّوها من قدرها، ووُجد من الخلفاء من يخطب جالسا خلافا لسنة النبي –صلى الله عليه وسلم-</w:t>
      </w:r>
      <w:r w:rsidR="00AF75F3" w:rsidRPr="00AF75F3">
        <w:rPr>
          <w:rFonts w:ascii="Traditional Arabic" w:hAnsi="Traditional Arabic" w:cs="Traditional Arabic" w:hint="cs"/>
          <w:color w:val="000000"/>
          <w:sz w:val="36"/>
          <w:szCs w:val="36"/>
          <w:vertAlign w:val="superscript"/>
          <w:rtl/>
        </w:rPr>
        <w:t>13</w:t>
      </w:r>
      <w:r w:rsidR="00AF75F3">
        <w:rPr>
          <w:rFonts w:ascii="Traditional Arabic" w:hAnsi="Traditional Arabic" w:cs="Traditional Arabic" w:hint="cs"/>
          <w:color w:val="000000"/>
          <w:sz w:val="36"/>
          <w:szCs w:val="36"/>
          <w:rtl/>
        </w:rPr>
        <w:t>،</w:t>
      </w:r>
      <w:r w:rsidRPr="00AF75F3">
        <w:rPr>
          <w:rStyle w:val="EndnoteReference"/>
          <w:rFonts w:ascii="Traditional Arabic" w:hAnsi="Traditional Arabic" w:cs="Traditional Arabic"/>
          <w:color w:val="FFFFFF" w:themeColor="background1"/>
          <w:sz w:val="36"/>
          <w:szCs w:val="36"/>
          <w:rtl/>
        </w:rPr>
        <w:endnoteReference w:id="13"/>
      </w:r>
      <w:r w:rsidRPr="00995110">
        <w:rPr>
          <w:rFonts w:ascii="Traditional Arabic" w:hAnsi="Traditional Arabic" w:cs="Traditional Arabic"/>
          <w:color w:val="000000"/>
          <w:sz w:val="36"/>
          <w:szCs w:val="36"/>
          <w:rtl/>
        </w:rPr>
        <w:t>وتواصى بعضهم بعضا بسبِّ عباد الله الصالحين من على منابر الجمعة؛ حتى جاء الخليفة الراشد عمر بن عبد العزيز –رحمه الله- فأبطل هذه البدعةَ الشنيعةَ، واستبدل بها بدعة حسنة</w:t>
      </w:r>
      <w:r w:rsidR="00AF75F3" w:rsidRPr="00AF75F3">
        <w:rPr>
          <w:rFonts w:ascii="Traditional Arabic" w:hAnsi="Traditional Arabic" w:cs="Traditional Arabic" w:hint="cs"/>
          <w:color w:val="000000"/>
          <w:sz w:val="36"/>
          <w:szCs w:val="36"/>
          <w:vertAlign w:val="superscript"/>
          <w:rtl/>
        </w:rPr>
        <w:t>14</w:t>
      </w:r>
      <w:r w:rsidR="00AF75F3">
        <w:rPr>
          <w:rFonts w:ascii="Traditional Arabic" w:hAnsi="Traditional Arabic" w:cs="Traditional Arabic" w:hint="cs"/>
          <w:color w:val="000000"/>
          <w:sz w:val="36"/>
          <w:szCs w:val="36"/>
          <w:rtl/>
        </w:rPr>
        <w:t>،</w:t>
      </w:r>
      <w:r w:rsidRPr="00AF75F3">
        <w:rPr>
          <w:rStyle w:val="EndnoteReference"/>
          <w:rFonts w:ascii="Traditional Arabic" w:hAnsi="Traditional Arabic" w:cs="Traditional Arabic"/>
          <w:color w:val="FFFFFF" w:themeColor="background1"/>
          <w:sz w:val="36"/>
          <w:szCs w:val="36"/>
          <w:rtl/>
        </w:rPr>
        <w:endnoteReference w:id="14"/>
      </w:r>
      <w:r w:rsidRPr="00995110">
        <w:rPr>
          <w:rFonts w:ascii="Traditional Arabic" w:hAnsi="Traditional Arabic" w:cs="Traditional Arabic"/>
          <w:color w:val="000000"/>
          <w:sz w:val="36"/>
          <w:szCs w:val="36"/>
          <w:rtl/>
        </w:rPr>
        <w:t>وهي قراءةُ  قول الله عز وجل عند آخر الخطبة الثانية:</w:t>
      </w:r>
      <w:r w:rsidRPr="00087517">
        <w:rPr>
          <w:rFonts w:ascii="Traditional Arabic" w:cs="DecoType Naskh Special" w:hint="cs"/>
          <w:color w:val="000000"/>
          <w:sz w:val="36"/>
          <w:szCs w:val="36"/>
          <w:rtl/>
        </w:rPr>
        <w:t xml:space="preserve"> </w:t>
      </w:r>
      <w:r w:rsidRPr="00087517">
        <w:rPr>
          <w:rFonts w:ascii="QCF_BSML" w:hAnsi="QCF_BSML" w:cs="QCF_BSML"/>
          <w:color w:val="000000"/>
          <w:sz w:val="36"/>
          <w:szCs w:val="36"/>
          <w:rtl/>
        </w:rPr>
        <w:t xml:space="preserve"> </w:t>
      </w:r>
      <w:r w:rsidRPr="00995110">
        <w:rPr>
          <w:rFonts w:ascii="QCF_BSML" w:hAnsi="QCF_BSML" w:cs="QCF_BSML"/>
          <w:sz w:val="28"/>
          <w:szCs w:val="28"/>
          <w:rtl/>
        </w:rPr>
        <w:t>ﭽ</w:t>
      </w:r>
      <w:r w:rsidRPr="00995110">
        <w:rPr>
          <w:rFonts w:ascii="QCF_P277" w:hAnsi="QCF_P277" w:cs="QCF_P277"/>
          <w:sz w:val="28"/>
          <w:szCs w:val="28"/>
          <w:rtl/>
        </w:rPr>
        <w:t xml:space="preserve"> ﭻ  ﭼ  ﭽ  ﭾ   ﭿ  ﮀ  ﮁ  ﮂ  ﮃ  ﮄ  ﮅ   ﮆ  ﮇﮈ  ﮉ  ﮊ  ﮋ   ﮌ</w:t>
      </w:r>
      <w:r w:rsidRPr="00995110">
        <w:rPr>
          <w:rFonts w:ascii="QCF_BSML" w:hAnsi="QCF_BSML" w:cs="QCF_BSML"/>
          <w:sz w:val="28"/>
          <w:szCs w:val="28"/>
          <w:rtl/>
        </w:rPr>
        <w:t>ﭼ</w:t>
      </w:r>
      <w:r w:rsidRPr="00995110">
        <w:rPr>
          <w:rFonts w:ascii="Arial" w:hAnsi="Arial" w:cs="Arial"/>
          <w:sz w:val="28"/>
          <w:szCs w:val="28"/>
          <w:rtl/>
        </w:rPr>
        <w:t xml:space="preserve"> </w:t>
      </w:r>
      <w:r w:rsidRPr="00995110">
        <w:rPr>
          <w:rFonts w:asciiTheme="minorBidi" w:hAnsiTheme="minorBidi" w:cstheme="minorBidi"/>
          <w:sz w:val="28"/>
          <w:szCs w:val="28"/>
          <w:rtl/>
        </w:rPr>
        <w:t>[النحل: ٩٠]</w:t>
      </w:r>
      <w:r w:rsidRPr="00087517">
        <w:rPr>
          <w:rFonts w:ascii="Arial" w:hAnsi="Arial" w:cs="DecoType Naskh Special" w:hint="cs"/>
          <w:sz w:val="36"/>
          <w:szCs w:val="36"/>
          <w:rtl/>
        </w:rPr>
        <w:t xml:space="preserve">. </w:t>
      </w:r>
      <w:r w:rsidRPr="00995110">
        <w:rPr>
          <w:rFonts w:ascii="Traditional Arabic" w:hAnsi="Traditional Arabic" w:cs="Traditional Arabic"/>
          <w:sz w:val="36"/>
          <w:szCs w:val="36"/>
          <w:rtl/>
        </w:rPr>
        <w:t>وقد حاول بعض الأمراء أن يبدأ بالخطبة قبل الصلاة يوم العيد، وقابل المسلمون ذلك بأشد النكير</w:t>
      </w:r>
      <w:r w:rsidR="00AF75F3" w:rsidRPr="00AF75F3">
        <w:rPr>
          <w:rFonts w:ascii="Traditional Arabic" w:hAnsi="Traditional Arabic" w:cs="Traditional Arabic" w:hint="cs"/>
          <w:sz w:val="36"/>
          <w:szCs w:val="36"/>
          <w:vertAlign w:val="superscript"/>
          <w:rtl/>
        </w:rPr>
        <w:t>15</w:t>
      </w:r>
      <w:r w:rsidR="00AF75F3">
        <w:rPr>
          <w:rFonts w:ascii="Traditional Arabic" w:hAnsi="Traditional Arabic" w:cs="Traditional Arabic" w:hint="cs"/>
          <w:sz w:val="36"/>
          <w:szCs w:val="36"/>
          <w:rtl/>
        </w:rPr>
        <w:t>.</w:t>
      </w:r>
      <w:r w:rsidRPr="00AF75F3">
        <w:rPr>
          <w:rStyle w:val="EndnoteReference"/>
          <w:rFonts w:ascii="Traditional Arabic" w:hAnsi="Traditional Arabic" w:cs="Traditional Arabic"/>
          <w:color w:val="FFFFFF" w:themeColor="background1"/>
          <w:sz w:val="36"/>
          <w:szCs w:val="36"/>
          <w:rtl/>
        </w:rPr>
        <w:endnoteReference w:id="15"/>
      </w:r>
      <w:r w:rsidRPr="00AF75F3">
        <w:rPr>
          <w:rFonts w:ascii="Traditional Arabic" w:hAnsi="Traditional Arabic" w:cs="Traditional Arabic"/>
          <w:color w:val="FFFFFF" w:themeColor="background1"/>
          <w:sz w:val="36"/>
          <w:szCs w:val="36"/>
          <w:rtl/>
        </w:rPr>
        <w:t>.</w:t>
      </w:r>
    </w:p>
    <w:p w:rsidR="003B4B80" w:rsidRPr="00995110" w:rsidRDefault="003B4B80" w:rsidP="00AF75F3">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وقد خطب بعض ولاة بني أمية غيرَ مستفتح لها بالحمد والثناء كما هو أدب الخطبة الإسلامية، فسمِّيتْ ب"البتراء"، وكلما عَرِيتِ الخطبةُ عن الحمد والثناء وصفوها بالشوهاء</w:t>
      </w:r>
      <w:r w:rsidR="00AF75F3" w:rsidRPr="00AF75F3">
        <w:rPr>
          <w:rFonts w:ascii="Traditional Arabic" w:hAnsi="Traditional Arabic" w:cs="Traditional Arabic" w:hint="cs"/>
          <w:sz w:val="36"/>
          <w:szCs w:val="36"/>
          <w:vertAlign w:val="superscript"/>
          <w:rtl/>
        </w:rPr>
        <w:t>16</w:t>
      </w:r>
      <w:r w:rsidR="00AF75F3">
        <w:rPr>
          <w:rFonts w:ascii="Traditional Arabic" w:hAnsi="Traditional Arabic" w:cs="Traditional Arabic" w:hint="cs"/>
          <w:sz w:val="36"/>
          <w:szCs w:val="36"/>
          <w:rtl/>
        </w:rPr>
        <w:t>.</w:t>
      </w:r>
      <w:r w:rsidRPr="00AF75F3">
        <w:rPr>
          <w:rStyle w:val="EndnoteReference"/>
          <w:rFonts w:ascii="Traditional Arabic" w:hAnsi="Traditional Arabic" w:cs="Traditional Arabic"/>
          <w:color w:val="FFFFFF" w:themeColor="background1"/>
          <w:sz w:val="36"/>
          <w:szCs w:val="36"/>
          <w:rtl/>
        </w:rPr>
        <w:endnoteReference w:id="16"/>
      </w:r>
      <w:r w:rsidRPr="00995110">
        <w:rPr>
          <w:rFonts w:ascii="Traditional Arabic" w:hAnsi="Traditional Arabic" w:cs="Traditional Arabic"/>
          <w:sz w:val="36"/>
          <w:szCs w:val="36"/>
          <w:rtl/>
        </w:rPr>
        <w:t xml:space="preserve">وقد كان </w:t>
      </w:r>
      <w:r w:rsidRPr="00995110">
        <w:rPr>
          <w:rFonts w:ascii="Traditional Arabic" w:hAnsi="Traditional Arabic" w:cs="Traditional Arabic"/>
          <w:sz w:val="36"/>
          <w:szCs w:val="36"/>
          <w:rtl/>
        </w:rPr>
        <w:lastRenderedPageBreak/>
        <w:t>الخطيب يأتي إلى المسجدِ فيلقي خطبتَه ارتجالا، وقد أكلت من قلبه ودمه؛ فأضحى الخلفاء يستكتبون غيرهم الخطبَ، وليست النائحة كالثكلى!</w:t>
      </w:r>
    </w:p>
    <w:p w:rsidR="003B4B80" w:rsidRPr="00995110" w:rsidRDefault="003B4B80" w:rsidP="003B4B80">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وكثرةُ دخول الأعاجم في الإسلام وضعفُ الحس اللغوي لدى العرب أنفسهم قد اضطرَّ كثير ا من الخطباء إلى ترجمة خطبِهم إلى اللغات الأعجمية أو اللهجات العامِّية؛ كي يفقه عنه الحاضرون</w:t>
      </w:r>
      <w:r w:rsidR="00AF75F3" w:rsidRPr="00AF75F3">
        <w:rPr>
          <w:rFonts w:ascii="Traditional Arabic" w:hAnsi="Traditional Arabic" w:cs="Traditional Arabic" w:hint="cs"/>
          <w:sz w:val="36"/>
          <w:szCs w:val="36"/>
          <w:vertAlign w:val="superscript"/>
          <w:rtl/>
        </w:rPr>
        <w:t>17</w:t>
      </w:r>
      <w:r w:rsidR="00AF75F3">
        <w:rPr>
          <w:rFonts w:ascii="Traditional Arabic" w:hAnsi="Traditional Arabic" w:cs="Traditional Arabic" w:hint="cs"/>
          <w:sz w:val="36"/>
          <w:szCs w:val="36"/>
          <w:rtl/>
        </w:rPr>
        <w:t>.</w:t>
      </w:r>
      <w:r w:rsidRPr="00AF75F3">
        <w:rPr>
          <w:rStyle w:val="EndnoteReference"/>
          <w:rFonts w:ascii="Traditional Arabic" w:hAnsi="Traditional Arabic" w:cs="Traditional Arabic"/>
          <w:color w:val="FFFFFF" w:themeColor="background1"/>
          <w:sz w:val="36"/>
          <w:szCs w:val="36"/>
          <w:rtl/>
        </w:rPr>
        <w:endnoteReference w:id="17"/>
      </w:r>
      <w:r w:rsidRPr="00995110">
        <w:rPr>
          <w:rFonts w:ascii="Traditional Arabic" w:hAnsi="Traditional Arabic" w:cs="Traditional Arabic"/>
          <w:sz w:val="36"/>
          <w:szCs w:val="36"/>
          <w:rtl/>
        </w:rPr>
        <w:t>وربما آثر بعضهم إلقاءَها باللغة التي يفهمها المستمعون ولو كانت غير العربية. وأخذ مستوى الخطبة في تراجع مستمر، وعادت إلى ما تحَرَّرَتْ منه من قُيودِ التسجيع وأغلاله، ولم تزل تنحطُّ من سيء إلى أسوأ، وأصبح الخطباء (ببغاوات) يتناقلون ما استحسنوه من الخطب، يُبدؤون منها ويعيدون.</w:t>
      </w:r>
    </w:p>
    <w:p w:rsidR="003B4B80" w:rsidRPr="00995110" w:rsidRDefault="003B4B80" w:rsidP="003B4B80">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وظلَّتِ الخطبةُ على تلك الحالة التي يُرثى لها حتى بزغ فجر العصر الحديث، فقيض الله لها نخبةً من العلماء الغيورين على دينهم من أمثال الشيخ محمد عبده ورفاقه، فنفخوا فيها الروح، وأيقظوها من سباتها العميق. حرَّروها مما تراكم عليها من أغلال الصنعة وقيود التقليد؛ فانتعشت الخطبة انتعاشاً، وأعيد إليها دورها الذي يفترض لها أن تلعب في إصلاح الفرد والمجتمع.</w:t>
      </w:r>
    </w:p>
    <w:p w:rsidR="003B4B80" w:rsidRPr="00995110" w:rsidRDefault="003B4B80" w:rsidP="003B4B80">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وقد حظِيَتِ الخطبةُ باهتمام شديد في هذا العصر لدرجة أن بعض الجامعات تجعلها مادة أساسية في كلياتها، يجب على الدارس بها الإلمام بأصولها ومقَوِّماتها، والتمرُّس على مزاولتها. بل أنشئت معاهد ومؤسسات خاصة بالأئمة لتدريبهم على الخطابة، وإعدادهم لها إعداد جيِّداً. وصارتْ بعض الحكومات التي تُعْنَى بشؤون المسلمين تقيم لهم دورات وملتقيات يتدارسون فيها وسائل جديدة لتفعيل هذا النشاط الدعوي المبارك.</w:t>
      </w:r>
    </w:p>
    <w:p w:rsidR="003B4B80" w:rsidRPr="00995110" w:rsidRDefault="003B4B80" w:rsidP="003B4B80">
      <w:pPr>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كما أن التقنية الحديثة أتاحت فُرَصاً أخرى لتأدية الخطب دورَها على أحسن وجه، وباتَتْ تُسَجَّلُ على الأشرطة والأسطوانات، بل تبثها وسائل الإعلام المسموعة والمرئية  بثا حياًّ مباشرا؛ بحيث يستفيد منها من لم يحضرها من النساء والمرضى وذوي الأعذار، فينفعلون لها كما ينفعل من شهدها -لحما ودما- أو أشد. وربما انتُقيَ الجيد منها وتم طبعه ونشره كي تعُمَّ الفائدة.</w:t>
      </w:r>
    </w:p>
    <w:p w:rsidR="003B4B80" w:rsidRPr="00995110" w:rsidRDefault="003B4B80" w:rsidP="00995110">
      <w:pPr>
        <w:autoSpaceDE w:val="0"/>
        <w:autoSpaceDN w:val="0"/>
        <w:bidi/>
        <w:adjustRightInd w:val="0"/>
        <w:spacing w:after="240"/>
        <w:rPr>
          <w:rFonts w:ascii="Traditional Arabic" w:hAnsi="Traditional Arabic" w:cs="Traditional Arabic"/>
          <w:b/>
          <w:bCs/>
          <w:sz w:val="36"/>
          <w:szCs w:val="36"/>
          <w:rtl/>
        </w:rPr>
      </w:pPr>
      <w:r w:rsidRPr="00995110">
        <w:rPr>
          <w:rFonts w:ascii="Traditional Arabic" w:hAnsi="Traditional Arabic" w:cs="Traditional Arabic"/>
          <w:b/>
          <w:bCs/>
          <w:sz w:val="36"/>
          <w:szCs w:val="36"/>
          <w:rtl/>
        </w:rPr>
        <w:lastRenderedPageBreak/>
        <w:t>الخطبة في شمالي نيجيريا بين الواقع والمأمول</w:t>
      </w:r>
      <w:r w:rsidR="00995110" w:rsidRPr="00995110">
        <w:rPr>
          <w:rFonts w:ascii="Traditional Arabic" w:hAnsi="Traditional Arabic" w:cs="Traditional Arabic"/>
          <w:b/>
          <w:bCs/>
          <w:sz w:val="36"/>
          <w:szCs w:val="36"/>
          <w:rtl/>
        </w:rPr>
        <w:t>:</w:t>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وبما أن هذه البلاد جزء من العالم الإسلامي، وعضوٌ في جسد الأمة الإسلامية الواحد، فلم تكن بمعزل عما يجري في سائر أرجاء العالم الإسلامي. لقد أصاب الخطبة من الوهن وسوء الحال في هذه البلاد ما يندى له الجبين، وربما تكون هذه البلاد من أسوأ الناس حظاًّ فيما يتَّصِل بموضوع الخطبة.</w:t>
      </w:r>
    </w:p>
    <w:p w:rsidR="003B4B80" w:rsidRPr="00995110" w:rsidRDefault="003B4B80" w:rsidP="004F5595">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كانت هذه البلاد –ولا تزالُ- بلاداً أعجمية، معظمُ أهاليها لا يفقهون العربية. وكان المذهب المالكي الذي هو السائد في البلاد يلزِمُ الخطيبَ إلقاءَ خطبه باللغة العربية، ولو كان الحضور لا يفهمون حرفاً مما يقول، ما دام الخطيبُ قادرا على ذلك</w:t>
      </w:r>
      <w:r w:rsidR="004F5595" w:rsidRPr="004F5595">
        <w:rPr>
          <w:rFonts w:ascii="Traditional Arabic" w:hAnsi="Traditional Arabic" w:cs="Traditional Arabic" w:hint="cs"/>
          <w:sz w:val="36"/>
          <w:szCs w:val="36"/>
          <w:vertAlign w:val="superscript"/>
          <w:rtl/>
        </w:rPr>
        <w:t>18</w:t>
      </w:r>
      <w:r w:rsidR="004F5595">
        <w:rPr>
          <w:rFonts w:ascii="Traditional Arabic" w:hAnsi="Traditional Arabic" w:cs="Traditional Arabic" w:hint="cs"/>
          <w:sz w:val="36"/>
          <w:szCs w:val="36"/>
          <w:rtl/>
        </w:rPr>
        <w:t>.</w:t>
      </w:r>
      <w:r w:rsidRPr="004F5595">
        <w:rPr>
          <w:rStyle w:val="EndnoteReference"/>
          <w:rFonts w:ascii="Traditional Arabic" w:hAnsi="Traditional Arabic" w:cs="Traditional Arabic"/>
          <w:color w:val="FFFFFF" w:themeColor="background1"/>
          <w:sz w:val="36"/>
          <w:szCs w:val="36"/>
          <w:rtl/>
        </w:rPr>
        <w:endnoteReference w:id="18"/>
      </w:r>
      <w:r w:rsidRPr="00995110">
        <w:rPr>
          <w:rFonts w:ascii="Traditional Arabic" w:hAnsi="Traditional Arabic" w:cs="Traditional Arabic"/>
          <w:sz w:val="36"/>
          <w:szCs w:val="36"/>
          <w:rtl/>
        </w:rPr>
        <w:t>وبهذا القرار الفقهي الصارم، تم تنحية خطب الجمعة والأعياد عن أداء دورها الأساسي الذي هو التذكير بالله ومعالجة أمراض الأمة الاجتماعية والسياسية. ولم تعُدِ الخطبةُ هي تلك الوسيلة الدعوية التي توقظ المشاعر، وتحرك القلوب، وأصبحتْ تراتيلَ وتعاويذَ ينفثها الخطيب على مسامع المصلين والسآمةُ باديةٌ على وجوههم.</w:t>
      </w:r>
    </w:p>
    <w:p w:rsidR="003B4B80" w:rsidRPr="00995110" w:rsidRDefault="003B4B80" w:rsidP="004F5595">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وقد أشار الشيخ آدم عبد الله الإلوري –رحمه الله- إلى هذه الحقيقة المرَّة قائلاً: "إن الخُطبَ المنبريةَ التي تُلْقَى في الجُمَعِ والأعيادِ ليس لها أي تأثير على [كذا]</w:t>
      </w:r>
      <w:r w:rsidR="004F5595" w:rsidRPr="004F5595">
        <w:rPr>
          <w:rFonts w:ascii="Traditional Arabic" w:hAnsi="Traditional Arabic" w:cs="Traditional Arabic" w:hint="cs"/>
          <w:sz w:val="36"/>
          <w:szCs w:val="36"/>
          <w:vertAlign w:val="superscript"/>
          <w:rtl/>
        </w:rPr>
        <w:t>19</w:t>
      </w:r>
      <w:r w:rsidRPr="004F5595">
        <w:rPr>
          <w:rStyle w:val="EndnoteReference"/>
          <w:rFonts w:ascii="Traditional Arabic" w:hAnsi="Traditional Arabic" w:cs="Traditional Arabic"/>
          <w:color w:val="FFFFFF" w:themeColor="background1"/>
          <w:sz w:val="36"/>
          <w:szCs w:val="36"/>
          <w:rtl/>
        </w:rPr>
        <w:endnoteReference w:id="19"/>
      </w:r>
      <w:r w:rsidRPr="00995110">
        <w:rPr>
          <w:rFonts w:ascii="Traditional Arabic" w:hAnsi="Traditional Arabic" w:cs="Traditional Arabic"/>
          <w:sz w:val="36"/>
          <w:szCs w:val="36"/>
          <w:rtl/>
        </w:rPr>
        <w:t>السواد الأعظم من المسلمين في غرب إفريقيا عموما، وفي نيجيريا خصوصا؛ لأنها كانت، ولا تزال، تلقى باللغة العربية، فلا يستفيد منها إلا العلماء، وهم قليلون"</w:t>
      </w:r>
      <w:r w:rsidR="004F5595" w:rsidRPr="004F5595">
        <w:rPr>
          <w:rFonts w:ascii="Traditional Arabic" w:hAnsi="Traditional Arabic" w:cs="Traditional Arabic" w:hint="cs"/>
          <w:sz w:val="36"/>
          <w:szCs w:val="36"/>
          <w:vertAlign w:val="superscript"/>
          <w:rtl/>
        </w:rPr>
        <w:t>20</w:t>
      </w:r>
      <w:r w:rsidR="004F5595">
        <w:rPr>
          <w:rFonts w:ascii="Traditional Arabic" w:hAnsi="Traditional Arabic" w:cs="Traditional Arabic" w:hint="cs"/>
          <w:sz w:val="36"/>
          <w:szCs w:val="36"/>
          <w:rtl/>
        </w:rPr>
        <w:t>.</w:t>
      </w:r>
      <w:r w:rsidRPr="004F5595">
        <w:rPr>
          <w:rStyle w:val="EndnoteReference"/>
          <w:rFonts w:ascii="Traditional Arabic" w:hAnsi="Traditional Arabic" w:cs="Traditional Arabic"/>
          <w:color w:val="FFFFFF" w:themeColor="background1"/>
          <w:sz w:val="36"/>
          <w:szCs w:val="36"/>
          <w:rtl/>
        </w:rPr>
        <w:endnoteReference w:id="20"/>
      </w:r>
    </w:p>
    <w:p w:rsidR="003B4B80" w:rsidRPr="00995110" w:rsidRDefault="004F5595" w:rsidP="004F5595">
      <w:pPr>
        <w:tabs>
          <w:tab w:val="left" w:pos="4830"/>
        </w:tabs>
        <w:autoSpaceDE w:val="0"/>
        <w:autoSpaceDN w:val="0"/>
        <w:bidi/>
        <w:adjustRightInd w:val="0"/>
        <w:spacing w:after="240"/>
        <w:jc w:val="both"/>
        <w:rPr>
          <w:rFonts w:ascii="Traditional Arabic" w:hAnsi="Traditional Arabic" w:cs="Traditional Arabic"/>
          <w:sz w:val="36"/>
          <w:szCs w:val="36"/>
          <w:rtl/>
        </w:rPr>
      </w:pPr>
      <w:r>
        <w:rPr>
          <w:rFonts w:ascii="Traditional Arabic" w:hAnsi="Traditional Arabic" w:cs="Traditional Arabic"/>
          <w:sz w:val="36"/>
          <w:szCs w:val="36"/>
          <w:rtl/>
        </w:rPr>
        <w:t xml:space="preserve">ويبدو أن الحركةَ </w:t>
      </w:r>
      <w:r w:rsidR="003B4B80" w:rsidRPr="00995110">
        <w:rPr>
          <w:rFonts w:ascii="Traditional Arabic" w:hAnsi="Traditional Arabic" w:cs="Traditional Arabic"/>
          <w:sz w:val="36"/>
          <w:szCs w:val="36"/>
          <w:rtl/>
        </w:rPr>
        <w:t xml:space="preserve">الإصلاحيةَ التي قام بهاآل فودي، بحكم كونها مالكية </w:t>
      </w:r>
      <w:r w:rsidR="00045BEA" w:rsidRPr="00995110">
        <w:rPr>
          <w:rFonts w:ascii="Traditional Arabic" w:hAnsi="Traditional Arabic" w:cs="Traditional Arabic"/>
          <w:sz w:val="36"/>
          <w:szCs w:val="36"/>
          <w:rtl/>
        </w:rPr>
        <w:t>المشرب</w:t>
      </w:r>
      <w:r w:rsidR="003B4B80" w:rsidRPr="00995110">
        <w:rPr>
          <w:rFonts w:ascii="Traditional Arabic" w:hAnsi="Traditional Arabic" w:cs="Traditional Arabic"/>
          <w:sz w:val="36"/>
          <w:szCs w:val="36"/>
          <w:rtl/>
        </w:rPr>
        <w:t xml:space="preserve">، قد ورثتْ هذا الواقعَ </w:t>
      </w:r>
      <w:r>
        <w:rPr>
          <w:rFonts w:ascii="Traditional Arabic" w:hAnsi="Traditional Arabic" w:cs="Traditional Arabic" w:hint="cs"/>
          <w:sz w:val="36"/>
          <w:szCs w:val="36"/>
          <w:rtl/>
        </w:rPr>
        <w:t xml:space="preserve">وأغضت الطرفَ عنه، </w:t>
      </w:r>
      <w:r w:rsidR="003B4B80" w:rsidRPr="00995110">
        <w:rPr>
          <w:rFonts w:ascii="Traditional Arabic" w:hAnsi="Traditional Arabic" w:cs="Traditional Arabic"/>
          <w:sz w:val="36"/>
          <w:szCs w:val="36"/>
          <w:rtl/>
        </w:rPr>
        <w:t>ولم تُحدِثْ فيه أيَّ تعديل؛ فإن من أرَّخوا لهذه الحركة لم يذكروا من وسائل نشر دعوتها خُطَبَ الجمعة والأعياد</w:t>
      </w:r>
      <w:r w:rsidRPr="004F5595">
        <w:rPr>
          <w:rFonts w:ascii="Traditional Arabic" w:hAnsi="Traditional Arabic" w:cs="Traditional Arabic" w:hint="cs"/>
          <w:sz w:val="36"/>
          <w:szCs w:val="36"/>
          <w:vertAlign w:val="superscript"/>
          <w:rtl/>
        </w:rPr>
        <w:t>21</w:t>
      </w:r>
      <w:r>
        <w:rPr>
          <w:rFonts w:ascii="Traditional Arabic" w:hAnsi="Traditional Arabic" w:cs="Traditional Arabic" w:hint="cs"/>
          <w:sz w:val="36"/>
          <w:szCs w:val="36"/>
          <w:rtl/>
        </w:rPr>
        <w:t>.</w:t>
      </w:r>
      <w:r w:rsidR="003B4B80" w:rsidRPr="004F5595">
        <w:rPr>
          <w:rStyle w:val="EndnoteReference"/>
          <w:rFonts w:ascii="Traditional Arabic" w:hAnsi="Traditional Arabic" w:cs="Traditional Arabic"/>
          <w:color w:val="FFFFFF" w:themeColor="background1"/>
          <w:sz w:val="36"/>
          <w:szCs w:val="36"/>
          <w:rtl/>
        </w:rPr>
        <w:endnoteReference w:id="21"/>
      </w:r>
      <w:r w:rsidR="003B4B80" w:rsidRPr="00995110">
        <w:rPr>
          <w:rFonts w:ascii="Traditional Arabic" w:hAnsi="Traditional Arabic" w:cs="Traditional Arabic"/>
          <w:sz w:val="36"/>
          <w:szCs w:val="36"/>
          <w:rtl/>
        </w:rPr>
        <w:t>والظاهِر أن الأئمة المتمكنين في العربية كانوا يُعِدُّن لكل مناسبة خطبةً تلائمها، ومطابقةً لمقتضى الحال، ولا يُعيدونها إلا إذا دعت الحاجةُ إلى ذلك.</w:t>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lastRenderedPageBreak/>
        <w:t>على أن الغالبَ في أئمة المساجد عدم القدرة على إنشاء الخُطَبِ بأنفسهم، إما لمحدودية ثقافتهم اللغوية، وإما لعدم المِراس. ولم يبق، حينئذ، أمام هذه الفئة غير التعلق بأهداب الخطب التي ألقاها بعض الفضلاء ممن يعتَقَد فيهم الخير وسعةُ العلم، يتلقفونها ويعيدونها بمناسبة وبغير مناسبة.</w:t>
      </w:r>
    </w:p>
    <w:p w:rsidR="003B4B80" w:rsidRPr="00995110" w:rsidRDefault="003B4B80" w:rsidP="00C34422">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ومن الخطب التي كتب الله لها القبولَ في بلاد الهوسا، وصار الأئمة  يعيدونها على منابرهم ولا يبغون عنها حِوَلاً بعضُ خطب أمير المؤمنين مح</w:t>
      </w:r>
      <w:r w:rsidR="004F5595">
        <w:rPr>
          <w:rFonts w:ascii="Traditional Arabic" w:hAnsi="Traditional Arabic" w:cs="Traditional Arabic"/>
          <w:sz w:val="36"/>
          <w:szCs w:val="36"/>
          <w:rtl/>
        </w:rPr>
        <w:t>مد بلُّو بن الشيخ عثمان بن فودي</w:t>
      </w:r>
      <w:r w:rsidR="004F5595" w:rsidRPr="004F5595">
        <w:rPr>
          <w:rFonts w:ascii="Traditional Arabic" w:hAnsi="Traditional Arabic" w:cs="Traditional Arabic" w:hint="cs"/>
          <w:sz w:val="36"/>
          <w:szCs w:val="36"/>
          <w:vertAlign w:val="superscript"/>
          <w:rtl/>
        </w:rPr>
        <w:t>22</w:t>
      </w:r>
      <w:r w:rsidR="004F5595">
        <w:rPr>
          <w:rFonts w:ascii="Traditional Arabic" w:hAnsi="Traditional Arabic" w:cs="Traditional Arabic" w:hint="cs"/>
          <w:sz w:val="36"/>
          <w:szCs w:val="36"/>
          <w:rtl/>
        </w:rPr>
        <w:t>.</w:t>
      </w:r>
      <w:r w:rsidRPr="004F5595">
        <w:rPr>
          <w:rStyle w:val="EndnoteReference"/>
          <w:rFonts w:ascii="Traditional Arabic" w:hAnsi="Traditional Arabic" w:cs="Traditional Arabic"/>
          <w:color w:val="FFFFFF" w:themeColor="background1"/>
          <w:sz w:val="36"/>
          <w:szCs w:val="36"/>
          <w:rtl/>
        </w:rPr>
        <w:endnoteReference w:id="22"/>
      </w:r>
      <w:r w:rsidRPr="00995110">
        <w:rPr>
          <w:rFonts w:ascii="Traditional Arabic" w:hAnsi="Traditional Arabic" w:cs="Traditional Arabic"/>
          <w:sz w:val="36"/>
          <w:szCs w:val="36"/>
          <w:rtl/>
        </w:rPr>
        <w:t>وقد جمع الشيخ محمد غبريم الداغري خطبا في كتاب سمَّاه "ديوان الخطب"، أودعه طائفةً من خطب الشيخ محمد بلو، بما فيه المشارُ إليها، وخطبِ الشيخ عثمان بن</w:t>
      </w:r>
      <w:r w:rsidR="00C34422">
        <w:rPr>
          <w:rFonts w:ascii="Traditional Arabic" w:hAnsi="Traditional Arabic" w:cs="Traditional Arabic"/>
          <w:sz w:val="36"/>
          <w:szCs w:val="36"/>
          <w:rtl/>
        </w:rPr>
        <w:t xml:space="preserve"> فودي، وخطب الشيخ إبراهيم إنياس</w:t>
      </w:r>
      <w:r w:rsidR="00C34422">
        <w:rPr>
          <w:rFonts w:ascii="Traditional Arabic" w:hAnsi="Traditional Arabic" w:cs="Traditional Arabic" w:hint="cs"/>
          <w:sz w:val="36"/>
          <w:szCs w:val="36"/>
          <w:rtl/>
        </w:rPr>
        <w:t>.</w:t>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ولستُ أدري إن كان العلماء المذكورون أرادوا لخطبِهم أن تتَّخَذَ وِرْداً تلوكه الألسنة، وتلازم عليه على اختلاف الأزمنة والأمكنة. وأكبر ظني أنهم بريئون من هذا الإيراد، وأن الناسَ، بدافع حسن الظن، هم الذين فرضوا على أنفسهم هذا الواقع، وقيَّدوها بهذه الخطب.</w:t>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b/>
          <w:bCs/>
          <w:sz w:val="36"/>
          <w:szCs w:val="36"/>
          <w:rtl/>
        </w:rPr>
      </w:pPr>
      <w:r w:rsidRPr="00995110">
        <w:rPr>
          <w:rFonts w:ascii="Traditional Arabic" w:hAnsi="Traditional Arabic" w:cs="Traditional Arabic"/>
          <w:b/>
          <w:bCs/>
          <w:sz w:val="36"/>
          <w:szCs w:val="36"/>
          <w:rtl/>
        </w:rPr>
        <w:t>حالات الخطب في شمالي نيجيريا</w:t>
      </w:r>
    </w:p>
    <w:p w:rsidR="003B4B80" w:rsidRPr="00995110" w:rsidRDefault="003B4B80" w:rsidP="004F5595">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وأياًّ كان، فإن استمرارَ كونِ الخطب بالعربية –كما سبق- قد وقف حاجزاً بين الخطبة وأداء دورها، وعاملا من عوامل عُزوفِ المصلين عن الاستماع إليها؛ الأمر الذي اضطرَّ بعضَ الأئمة، بضغط من الشارع، أن يراجعوا تلك الفتوى، ويعملوا على تعديلها بما ينسجم مع متطلبات الواقع؛ "وذلك بأن يتقدم واعِظٌ معيَّن من قِبَلِ الإمام لترجمة الخطبة للناس من قَبْلِ إلقائها، أو بتذكير الناس بشيء من القرآن والحديث قبل إلقاء الخطبة في نحو ربع ساعة، أو بإلقائها باللغة المحلية إلا في الآيات والأحاديث فتكون بالعربية، ثم تُتَرجَم إلى اللغة المحلية"</w:t>
      </w:r>
      <w:r w:rsidR="004F5595" w:rsidRPr="004F5595">
        <w:rPr>
          <w:rFonts w:ascii="Traditional Arabic" w:hAnsi="Traditional Arabic" w:cs="Traditional Arabic" w:hint="cs"/>
          <w:sz w:val="36"/>
          <w:szCs w:val="36"/>
          <w:vertAlign w:val="superscript"/>
          <w:rtl/>
        </w:rPr>
        <w:t>23</w:t>
      </w:r>
      <w:r w:rsidR="004F5595">
        <w:rPr>
          <w:rFonts w:ascii="Traditional Arabic" w:hAnsi="Traditional Arabic" w:cs="Traditional Arabic" w:hint="cs"/>
          <w:sz w:val="36"/>
          <w:szCs w:val="36"/>
          <w:rtl/>
        </w:rPr>
        <w:t>.</w:t>
      </w:r>
      <w:r w:rsidRPr="004F5595">
        <w:rPr>
          <w:rStyle w:val="EndnoteReference"/>
          <w:rFonts w:ascii="Traditional Arabic" w:hAnsi="Traditional Arabic" w:cs="Traditional Arabic"/>
          <w:color w:val="FFFFFF" w:themeColor="background1"/>
          <w:sz w:val="36"/>
          <w:szCs w:val="36"/>
          <w:rtl/>
        </w:rPr>
        <w:endnoteReference w:id="23"/>
      </w:r>
      <w:r w:rsidRPr="00995110">
        <w:rPr>
          <w:rFonts w:ascii="Traditional Arabic" w:hAnsi="Traditional Arabic" w:cs="Traditional Arabic"/>
          <w:sz w:val="36"/>
          <w:szCs w:val="36"/>
          <w:rtl/>
        </w:rPr>
        <w:t>وقد يُلْقي الإمام الخطبةَ الأولى بالعربية، ثم تكون الثانية ترجمةً للأولى إلى اللغة المحلية.</w:t>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lastRenderedPageBreak/>
        <w:t>وخلاصة القول: إن الواقع الذي نعيشه في هذه البلاد قد أسفر عن ثلاث حالات لخطب الجمعة:</w:t>
      </w:r>
    </w:p>
    <w:p w:rsidR="003B4B80" w:rsidRPr="00995110" w:rsidRDefault="003B4B80" w:rsidP="003B4B80">
      <w:pPr>
        <w:numPr>
          <w:ilvl w:val="0"/>
          <w:numId w:val="4"/>
        </w:numPr>
        <w:tabs>
          <w:tab w:val="right" w:pos="906"/>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أن يلقِيَها الخطيب بالعربية من غير أن تسبقَها ترجمةٌ أو تعقبَها.</w:t>
      </w:r>
    </w:p>
    <w:p w:rsidR="003B4B80" w:rsidRPr="00995110" w:rsidRDefault="003B4B80" w:rsidP="003B4B80">
      <w:pPr>
        <w:numPr>
          <w:ilvl w:val="0"/>
          <w:numId w:val="4"/>
        </w:numPr>
        <w:tabs>
          <w:tab w:val="clear" w:pos="720"/>
          <w:tab w:val="right" w:pos="726"/>
        </w:tabs>
        <w:autoSpaceDE w:val="0"/>
        <w:autoSpaceDN w:val="0"/>
        <w:bidi/>
        <w:adjustRightInd w:val="0"/>
        <w:spacing w:after="240"/>
        <w:jc w:val="both"/>
        <w:rPr>
          <w:rFonts w:ascii="Traditional Arabic" w:hAnsi="Traditional Arabic" w:cs="Traditional Arabic"/>
          <w:sz w:val="36"/>
          <w:szCs w:val="36"/>
        </w:rPr>
      </w:pPr>
      <w:r w:rsidRPr="00995110">
        <w:rPr>
          <w:rFonts w:ascii="Traditional Arabic" w:hAnsi="Traditional Arabic" w:cs="Traditional Arabic"/>
          <w:sz w:val="36"/>
          <w:szCs w:val="36"/>
          <w:rtl/>
        </w:rPr>
        <w:t>أن يلقيها الخطيب بالعربية، لكن تسبقها ترجمة أو وعظٌ باللغة المحلية.</w:t>
      </w:r>
    </w:p>
    <w:p w:rsidR="003B4B80" w:rsidRPr="00995110" w:rsidRDefault="003B4B80" w:rsidP="003B4B80">
      <w:pPr>
        <w:numPr>
          <w:ilvl w:val="0"/>
          <w:numId w:val="4"/>
        </w:numPr>
        <w:tabs>
          <w:tab w:val="clear" w:pos="720"/>
        </w:tabs>
        <w:autoSpaceDE w:val="0"/>
        <w:autoSpaceDN w:val="0"/>
        <w:bidi/>
        <w:adjustRightInd w:val="0"/>
        <w:spacing w:after="240"/>
        <w:jc w:val="both"/>
        <w:rPr>
          <w:rFonts w:ascii="Traditional Arabic" w:hAnsi="Traditional Arabic" w:cs="Traditional Arabic"/>
          <w:sz w:val="36"/>
          <w:szCs w:val="36"/>
        </w:rPr>
      </w:pPr>
      <w:r w:rsidRPr="00995110">
        <w:rPr>
          <w:rFonts w:ascii="Traditional Arabic" w:hAnsi="Traditional Arabic" w:cs="Traditional Arabic"/>
          <w:sz w:val="36"/>
          <w:szCs w:val="36"/>
          <w:rtl/>
        </w:rPr>
        <w:t>أن يكون بعضها بالعربية وبعضها باللغة المحلية، وهي على قسمين:</w:t>
      </w:r>
    </w:p>
    <w:p w:rsidR="003B4B80" w:rsidRPr="00995110" w:rsidRDefault="003B4B80" w:rsidP="003B4B80">
      <w:pPr>
        <w:numPr>
          <w:ilvl w:val="1"/>
          <w:numId w:val="4"/>
        </w:numPr>
        <w:tabs>
          <w:tab w:val="left" w:pos="4830"/>
        </w:tabs>
        <w:autoSpaceDE w:val="0"/>
        <w:autoSpaceDN w:val="0"/>
        <w:bidi/>
        <w:adjustRightInd w:val="0"/>
        <w:spacing w:after="240"/>
        <w:jc w:val="both"/>
        <w:rPr>
          <w:rFonts w:ascii="Traditional Arabic" w:hAnsi="Traditional Arabic" w:cs="Traditional Arabic"/>
          <w:sz w:val="36"/>
          <w:szCs w:val="36"/>
        </w:rPr>
      </w:pPr>
      <w:r w:rsidRPr="00995110">
        <w:rPr>
          <w:rFonts w:ascii="Traditional Arabic" w:hAnsi="Traditional Arabic" w:cs="Traditional Arabic"/>
          <w:sz w:val="36"/>
          <w:szCs w:val="36"/>
          <w:rtl/>
        </w:rPr>
        <w:t>أن يلقيَها الخطيبُ باللغة المحلية ما عدا الآيات والأحاديث؛ فإنها تكون بالعربية ثم تترجم.</w:t>
      </w:r>
    </w:p>
    <w:p w:rsidR="003B4B80" w:rsidRPr="00995110" w:rsidRDefault="003B4B80" w:rsidP="003B4B80">
      <w:pPr>
        <w:numPr>
          <w:ilvl w:val="1"/>
          <w:numId w:val="4"/>
        </w:numPr>
        <w:tabs>
          <w:tab w:val="left" w:pos="4830"/>
        </w:tabs>
        <w:autoSpaceDE w:val="0"/>
        <w:autoSpaceDN w:val="0"/>
        <w:bidi/>
        <w:adjustRightInd w:val="0"/>
        <w:spacing w:after="240"/>
        <w:jc w:val="both"/>
        <w:rPr>
          <w:rFonts w:ascii="Traditional Arabic" w:hAnsi="Traditional Arabic" w:cs="Traditional Arabic"/>
          <w:sz w:val="36"/>
          <w:szCs w:val="36"/>
        </w:rPr>
      </w:pPr>
      <w:r w:rsidRPr="00995110">
        <w:rPr>
          <w:rFonts w:ascii="Traditional Arabic" w:hAnsi="Traditional Arabic" w:cs="Traditional Arabic"/>
          <w:sz w:val="36"/>
          <w:szCs w:val="36"/>
          <w:rtl/>
        </w:rPr>
        <w:t>أن يلقيَ الخطبة الأولى بالعربية، ثم يترجمها إلى اللغة المحلية في الثانية.</w:t>
      </w:r>
    </w:p>
    <w:p w:rsidR="003B4B80" w:rsidRPr="00995110" w:rsidRDefault="003B4B80" w:rsidP="001D2150">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وقد أجريتُ استفتاء للرأي العامِّ</w:t>
      </w:r>
      <w:r w:rsidR="004F5595" w:rsidRPr="004F5595">
        <w:rPr>
          <w:rFonts w:ascii="Traditional Arabic" w:hAnsi="Traditional Arabic" w:cs="Traditional Arabic" w:hint="cs"/>
          <w:sz w:val="36"/>
          <w:szCs w:val="36"/>
          <w:vertAlign w:val="superscript"/>
          <w:rtl/>
        </w:rPr>
        <w:t>24</w:t>
      </w:r>
      <w:r w:rsidRPr="004F5595">
        <w:rPr>
          <w:rStyle w:val="EndnoteReference"/>
          <w:rFonts w:ascii="Traditional Arabic" w:hAnsi="Traditional Arabic" w:cs="Traditional Arabic"/>
          <w:color w:val="FFFFFF" w:themeColor="background1"/>
          <w:sz w:val="36"/>
          <w:szCs w:val="36"/>
          <w:rtl/>
        </w:rPr>
        <w:endnoteReference w:id="24"/>
      </w:r>
      <w:r w:rsidRPr="00995110">
        <w:rPr>
          <w:rFonts w:ascii="Traditional Arabic" w:hAnsi="Traditional Arabic" w:cs="Traditional Arabic"/>
          <w:sz w:val="36"/>
          <w:szCs w:val="36"/>
          <w:rtl/>
        </w:rPr>
        <w:t xml:space="preserve">حول هذه الحالات الثلاث للخطب: أيها أكثر جدوى؟ </w:t>
      </w:r>
      <w:r w:rsidR="001D2150">
        <w:rPr>
          <w:rFonts w:ascii="Traditional Arabic" w:hAnsi="Traditional Arabic" w:cs="Traditional Arabic" w:hint="cs"/>
          <w:sz w:val="36"/>
          <w:szCs w:val="36"/>
          <w:rtl/>
        </w:rPr>
        <w:t>ف</w:t>
      </w:r>
      <w:r w:rsidRPr="00995110">
        <w:rPr>
          <w:rFonts w:ascii="Traditional Arabic" w:hAnsi="Traditional Arabic" w:cs="Traditional Arabic"/>
          <w:sz w:val="36"/>
          <w:szCs w:val="36"/>
          <w:rtl/>
        </w:rPr>
        <w:t xml:space="preserve">وجدتُّ أغلبَ الأصوات </w:t>
      </w:r>
      <w:r w:rsidR="001D2150">
        <w:rPr>
          <w:rFonts w:ascii="Traditional Arabic" w:hAnsi="Traditional Arabic" w:cs="Traditional Arabic" w:hint="cs"/>
          <w:sz w:val="36"/>
          <w:szCs w:val="36"/>
          <w:rtl/>
        </w:rPr>
        <w:t>في صالح</w:t>
      </w:r>
      <w:r w:rsidRPr="00995110">
        <w:rPr>
          <w:rFonts w:ascii="Traditional Arabic" w:hAnsi="Traditional Arabic" w:cs="Traditional Arabic"/>
          <w:sz w:val="36"/>
          <w:szCs w:val="36"/>
          <w:rtl/>
        </w:rPr>
        <w:t xml:space="preserve"> الحالة الثالثة؛ لا لشيء إلا لأنها تتحدَّث عن واقعهم بلسان يفهمونه، ولم أجدْ من صوَّتَ للحالة الأولى على الرغم من وجود من يفهم العربيةَ من بين المصوِّتين. لا شك أن هذا ينبئ عن استياء الشارع النيجيري بهذه الحالة؛ لا رغبة عن العربية، وإنما</w:t>
      </w:r>
      <w:r w:rsidR="001D2150">
        <w:rPr>
          <w:rFonts w:ascii="Traditional Arabic" w:hAnsi="Traditional Arabic" w:cs="Traditional Arabic"/>
          <w:sz w:val="36"/>
          <w:szCs w:val="36"/>
          <w:rtl/>
        </w:rPr>
        <w:t xml:space="preserve"> لعدم تلبيتها لاجتياجات</w:t>
      </w:r>
      <w:r w:rsidR="001D2150">
        <w:rPr>
          <w:rFonts w:ascii="Traditional Arabic" w:hAnsi="Traditional Arabic" w:cs="Traditional Arabic" w:hint="cs"/>
          <w:sz w:val="36"/>
          <w:szCs w:val="36"/>
          <w:rtl/>
        </w:rPr>
        <w:t>ه</w:t>
      </w:r>
      <w:r w:rsidRPr="00995110">
        <w:rPr>
          <w:rFonts w:ascii="Traditional Arabic" w:hAnsi="Traditional Arabic" w:cs="Traditional Arabic"/>
          <w:sz w:val="36"/>
          <w:szCs w:val="36"/>
          <w:rtl/>
        </w:rPr>
        <w:t>.</w:t>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 xml:space="preserve">وبناء على هذا، يدعو هذا الباحثُ إلى إعادة النظر في تلك الفتوى التي تقول باشتراط اللغة العربية في الخطبة حتى ولو كان المستمعون لا يفهمون منها شيئا. ندعو إلى إعادة النظر فيها على ضوء قوله تعالى: </w:t>
      </w:r>
      <w:r w:rsidRPr="00995110">
        <w:rPr>
          <w:rFonts w:ascii="QCF_BSML" w:hAnsi="QCF_BSML" w:cs="QCF_BSML"/>
          <w:sz w:val="28"/>
          <w:szCs w:val="28"/>
          <w:rtl/>
        </w:rPr>
        <w:t>ﭽ</w:t>
      </w:r>
      <w:r w:rsidRPr="00995110">
        <w:rPr>
          <w:rFonts w:ascii="QCF_P255" w:hAnsi="QCF_P255" w:cs="QCF_P255"/>
          <w:sz w:val="28"/>
          <w:szCs w:val="28"/>
          <w:rtl/>
        </w:rPr>
        <w:t xml:space="preserve">ﮖ  ﮗ   ﮘ  ﮙ  ﮚ  ﮛ  ﮜ  ﮝ  ﮞﮟ  ﮠ  ﮡ   ﮢ  ﮣ  ﮤ  ﮥ  ﮦﮧ  ﮨ  ﮩ  ﮪ   ﮫ  </w:t>
      </w:r>
      <w:r w:rsidRPr="00995110">
        <w:rPr>
          <w:rFonts w:ascii="QCF_BSML" w:hAnsi="QCF_BSML" w:cs="QCF_BSML"/>
          <w:sz w:val="28"/>
          <w:szCs w:val="28"/>
          <w:rtl/>
        </w:rPr>
        <w:t>ﭼ</w:t>
      </w:r>
      <w:r w:rsidRPr="00087517">
        <w:rPr>
          <w:rFonts w:ascii="Arial" w:hAnsi="Arial" w:cs="Arial"/>
          <w:sz w:val="32"/>
          <w:szCs w:val="32"/>
          <w:rtl/>
        </w:rPr>
        <w:t xml:space="preserve"> </w:t>
      </w:r>
      <w:r w:rsidRPr="00995110">
        <w:rPr>
          <w:rFonts w:asciiTheme="minorBidi" w:hAnsiTheme="minorBidi" w:cstheme="minorBidi"/>
          <w:sz w:val="28"/>
          <w:szCs w:val="28"/>
          <w:rtl/>
        </w:rPr>
        <w:t>[إبراهيم: ٤]</w:t>
      </w:r>
      <w:r w:rsidRPr="00995110">
        <w:rPr>
          <w:rFonts w:ascii="Traditional Arabic" w:hAnsi="Traditional Arabic" w:cs="Traditional Arabic"/>
          <w:sz w:val="36"/>
          <w:szCs w:val="36"/>
          <w:rtl/>
        </w:rPr>
        <w:t>.</w:t>
      </w:r>
      <w:r w:rsidRPr="00087517">
        <w:rPr>
          <w:rFonts w:ascii="Arial" w:hAnsi="Arial" w:cs="DecoType Naskh Special" w:hint="cs"/>
          <w:sz w:val="36"/>
          <w:szCs w:val="36"/>
          <w:rtl/>
        </w:rPr>
        <w:t xml:space="preserve"> </w:t>
      </w:r>
      <w:r w:rsidRPr="00995110">
        <w:rPr>
          <w:rFonts w:ascii="Traditional Arabic" w:hAnsi="Traditional Arabic" w:cs="Traditional Arabic"/>
          <w:sz w:val="36"/>
          <w:szCs w:val="36"/>
          <w:rtl/>
        </w:rPr>
        <w:t>عندئذ تعيش الخطبةُ آلام الناسِ وآمالَهم، ويصبِحُ الخطيبُ وارثا شرعياًّ من ورثة الأنبياء.</w:t>
      </w:r>
    </w:p>
    <w:p w:rsidR="00C34422" w:rsidRDefault="00C34422" w:rsidP="00995110">
      <w:pPr>
        <w:tabs>
          <w:tab w:val="left" w:pos="4830"/>
        </w:tabs>
        <w:autoSpaceDE w:val="0"/>
        <w:autoSpaceDN w:val="0"/>
        <w:bidi/>
        <w:adjustRightInd w:val="0"/>
        <w:spacing w:after="240"/>
        <w:rPr>
          <w:rFonts w:ascii="Traditional Arabic" w:hAnsi="Traditional Arabic" w:cs="Traditional Arabic" w:hint="cs"/>
          <w:b/>
          <w:bCs/>
          <w:sz w:val="36"/>
          <w:szCs w:val="36"/>
          <w:rtl/>
        </w:rPr>
      </w:pPr>
    </w:p>
    <w:p w:rsidR="003B4B80" w:rsidRPr="00995110" w:rsidRDefault="003B4B80" w:rsidP="00C34422">
      <w:pPr>
        <w:tabs>
          <w:tab w:val="left" w:pos="4830"/>
        </w:tabs>
        <w:autoSpaceDE w:val="0"/>
        <w:autoSpaceDN w:val="0"/>
        <w:bidi/>
        <w:adjustRightInd w:val="0"/>
        <w:spacing w:after="240"/>
        <w:rPr>
          <w:rFonts w:ascii="Traditional Arabic" w:hAnsi="Traditional Arabic" w:cs="Traditional Arabic"/>
          <w:b/>
          <w:bCs/>
          <w:sz w:val="36"/>
          <w:szCs w:val="36"/>
          <w:rtl/>
        </w:rPr>
      </w:pPr>
      <w:r w:rsidRPr="00995110">
        <w:rPr>
          <w:rFonts w:ascii="Traditional Arabic" w:hAnsi="Traditional Arabic" w:cs="Traditional Arabic"/>
          <w:b/>
          <w:bCs/>
          <w:sz w:val="36"/>
          <w:szCs w:val="36"/>
          <w:rtl/>
        </w:rPr>
        <w:lastRenderedPageBreak/>
        <w:t>خاتمة المطاف</w:t>
      </w:r>
      <w:r w:rsidR="00995110" w:rsidRPr="00995110">
        <w:rPr>
          <w:rFonts w:ascii="Traditional Arabic" w:hAnsi="Traditional Arabic" w:cs="Traditional Arabic"/>
          <w:b/>
          <w:bCs/>
          <w:sz w:val="36"/>
          <w:szCs w:val="36"/>
          <w:rtl/>
        </w:rPr>
        <w:t>:</w:t>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وانطلاقا من الدعوة إلى إعادة النظر في اشتراط كون الخطبة باللغة العربية، رأيت أنه ليس من نافلة القول أن أشير إلى مذاهب أهل العلم في المسألة ووجهات أنظارهم، باختصار؛ كي تضيءَ لنا الطريقَ، تمهِّدَ لنا السبيلَ في اختيارِ ما هو أنسب وأقرب إلى روح شرعنا الحنيف. ولله دَرُّ عمر بن عبد العزيز –رحمه الله- إذ رأى في اختلاف أصحاب رسول الله –صلى الله عليه وسلم- سعَة ورحمةً للأمة.</w:t>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b/>
          <w:bCs/>
          <w:sz w:val="36"/>
          <w:szCs w:val="36"/>
          <w:rtl/>
        </w:rPr>
      </w:pPr>
      <w:r w:rsidRPr="00995110">
        <w:rPr>
          <w:rFonts w:ascii="Traditional Arabic" w:hAnsi="Traditional Arabic" w:cs="Traditional Arabic"/>
          <w:b/>
          <w:bCs/>
          <w:sz w:val="36"/>
          <w:szCs w:val="36"/>
          <w:rtl/>
        </w:rPr>
        <w:t>مذاهب العلماء في اشتراط كون الخطبة باللغة العربية</w:t>
      </w:r>
      <w:r w:rsidR="004F5595" w:rsidRPr="004F5595">
        <w:rPr>
          <w:rFonts w:ascii="Traditional Arabic" w:hAnsi="Traditional Arabic" w:cs="Traditional Arabic" w:hint="cs"/>
          <w:b/>
          <w:bCs/>
          <w:sz w:val="36"/>
          <w:szCs w:val="36"/>
          <w:vertAlign w:val="superscript"/>
          <w:rtl/>
        </w:rPr>
        <w:t>25</w:t>
      </w:r>
      <w:r w:rsidRPr="004F5595">
        <w:rPr>
          <w:rStyle w:val="EndnoteReference"/>
          <w:rFonts w:ascii="Traditional Arabic" w:hAnsi="Traditional Arabic" w:cs="Traditional Arabic"/>
          <w:b/>
          <w:bCs/>
          <w:color w:val="FFFFFF" w:themeColor="background1"/>
          <w:sz w:val="36"/>
          <w:szCs w:val="36"/>
          <w:rtl/>
        </w:rPr>
        <w:endnoteReference w:id="25"/>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لا خلافَ بين أهل العلم في أن الأَوْلى أن تكون الخطبةُ بالعربية، وإنما اختلفوا في اشتراطها على ثلاثة أقوال:</w:t>
      </w:r>
    </w:p>
    <w:p w:rsidR="003B4B80" w:rsidRPr="00995110" w:rsidRDefault="003B4B80" w:rsidP="003B4B80">
      <w:pPr>
        <w:numPr>
          <w:ilvl w:val="0"/>
          <w:numId w:val="6"/>
        </w:numPr>
        <w:tabs>
          <w:tab w:val="clear" w:pos="720"/>
          <w:tab w:val="left" w:pos="726"/>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أنها شرطٌ إذا كان الخطيب قادراً عليها؛ إلا إذا كان الحضور لا يعرفونها فتجوز بغيرها. وهذا هو الصحيح من مذهب الشافعية وقول بعض الحنابلة.</w:t>
      </w:r>
    </w:p>
    <w:p w:rsidR="003B4B80" w:rsidRPr="00995110" w:rsidRDefault="003B4B80" w:rsidP="003B4B80">
      <w:pPr>
        <w:numPr>
          <w:ilvl w:val="0"/>
          <w:numId w:val="6"/>
        </w:numPr>
        <w:tabs>
          <w:tab w:val="clear" w:pos="720"/>
          <w:tab w:val="left" w:pos="726"/>
        </w:tabs>
        <w:autoSpaceDE w:val="0"/>
        <w:autoSpaceDN w:val="0"/>
        <w:bidi/>
        <w:adjustRightInd w:val="0"/>
        <w:spacing w:after="240"/>
        <w:jc w:val="both"/>
        <w:rPr>
          <w:rFonts w:ascii="Traditional Arabic" w:hAnsi="Traditional Arabic" w:cs="Traditional Arabic"/>
          <w:sz w:val="36"/>
          <w:szCs w:val="36"/>
        </w:rPr>
      </w:pPr>
      <w:r w:rsidRPr="00995110">
        <w:rPr>
          <w:rFonts w:ascii="Traditional Arabic" w:hAnsi="Traditional Arabic" w:cs="Traditional Arabic"/>
          <w:sz w:val="36"/>
          <w:szCs w:val="36"/>
          <w:rtl/>
        </w:rPr>
        <w:t>أنها شرطٌ للقادر عليها، ولو كان الحضور لا يعرفونها. وهذا مذهب المالكية -كما سبق- والمشهور عند الحنابلة.</w:t>
      </w:r>
    </w:p>
    <w:p w:rsidR="003B4B80" w:rsidRPr="00995110" w:rsidRDefault="003B4B80" w:rsidP="003B4B80">
      <w:pPr>
        <w:numPr>
          <w:ilvl w:val="0"/>
          <w:numId w:val="6"/>
        </w:numPr>
        <w:tabs>
          <w:tab w:val="clear" w:pos="720"/>
          <w:tab w:val="left" w:pos="726"/>
        </w:tabs>
        <w:autoSpaceDE w:val="0"/>
        <w:autoSpaceDN w:val="0"/>
        <w:bidi/>
        <w:adjustRightInd w:val="0"/>
        <w:spacing w:after="240"/>
        <w:jc w:val="both"/>
        <w:rPr>
          <w:rFonts w:ascii="Traditional Arabic" w:hAnsi="Traditional Arabic" w:cs="Traditional Arabic"/>
          <w:sz w:val="36"/>
          <w:szCs w:val="36"/>
        </w:rPr>
      </w:pPr>
      <w:r w:rsidRPr="00995110">
        <w:rPr>
          <w:rFonts w:ascii="Traditional Arabic" w:hAnsi="Traditional Arabic" w:cs="Traditional Arabic"/>
          <w:sz w:val="36"/>
          <w:szCs w:val="36"/>
          <w:rtl/>
        </w:rPr>
        <w:t>أنها مستحبٌّ وليستْ شرطاً. هذا مذهب الحنفية ووجهٌ عند الشافعية.</w:t>
      </w:r>
    </w:p>
    <w:p w:rsidR="003B4B80" w:rsidRPr="00995110" w:rsidRDefault="003B4B80" w:rsidP="003B4B80">
      <w:pPr>
        <w:tabs>
          <w:tab w:val="left" w:pos="4830"/>
        </w:tabs>
        <w:autoSpaceDE w:val="0"/>
        <w:autoSpaceDN w:val="0"/>
        <w:bidi/>
        <w:adjustRightInd w:val="0"/>
        <w:spacing w:after="240"/>
        <w:jc w:val="both"/>
        <w:rPr>
          <w:rFonts w:ascii="Traditional Arabic" w:hAnsi="Traditional Arabic" w:cs="Traditional Arabic"/>
          <w:sz w:val="36"/>
          <w:szCs w:val="36"/>
          <w:rtl/>
        </w:rPr>
      </w:pPr>
      <w:r w:rsidRPr="00995110">
        <w:rPr>
          <w:rFonts w:ascii="Traditional Arabic" w:hAnsi="Traditional Arabic" w:cs="Traditional Arabic"/>
          <w:sz w:val="36"/>
          <w:szCs w:val="36"/>
          <w:rtl/>
        </w:rPr>
        <w:t>وحين نبحث عن مستند من منع الخطبة بغير العربية لا نجد أكثر من أنها ذكرٌ مفروضٌ، فتجب بالعربية كالتشهد والتحية، وبأن النبي –صلى الله عليه وسلم- لم يخطبْ إلا بها، وكذلك الصحابة. لكن يمكن مناقشةُ ذلك بأن الخطبةَ لم ترد بألفاظ معينة فتباين التشهدَ والتحية، وبأن الذين خاطبهم النبي –صلى الله عليه وسلم- والصحابة كانوا يعرفون العربية.</w:t>
      </w:r>
    </w:p>
    <w:p w:rsidR="003B4B80" w:rsidRPr="00995110" w:rsidRDefault="003B4B80" w:rsidP="003B4B80">
      <w:pPr>
        <w:autoSpaceDE w:val="0"/>
        <w:autoSpaceDN w:val="0"/>
        <w:bidi/>
        <w:adjustRightInd w:val="0"/>
        <w:spacing w:after="240"/>
        <w:jc w:val="both"/>
        <w:rPr>
          <w:rFonts w:ascii="Traditional Arabic" w:hAnsi="Traditional Arabic" w:cs="Traditional Arabic"/>
          <w:color w:val="000000"/>
          <w:sz w:val="36"/>
          <w:szCs w:val="36"/>
          <w:rtl/>
        </w:rPr>
      </w:pPr>
      <w:r w:rsidRPr="00995110">
        <w:rPr>
          <w:rFonts w:ascii="Traditional Arabic" w:hAnsi="Traditional Arabic" w:cs="Traditional Arabic"/>
          <w:b/>
          <w:bCs/>
          <w:color w:val="000000"/>
          <w:sz w:val="36"/>
          <w:szCs w:val="36"/>
          <w:rtl/>
        </w:rPr>
        <w:lastRenderedPageBreak/>
        <w:t xml:space="preserve"> </w:t>
      </w:r>
      <w:r w:rsidRPr="00995110">
        <w:rPr>
          <w:rFonts w:ascii="Traditional Arabic" w:hAnsi="Traditional Arabic" w:cs="Traditional Arabic"/>
          <w:color w:val="000000"/>
          <w:sz w:val="36"/>
          <w:szCs w:val="36"/>
          <w:rtl/>
        </w:rPr>
        <w:t>وإذا أمعنَّا النظرَ في هذه الأقوال نجد أن أوسطها هو القول الأول، وهو اختيار الشيخ ابن عثيمين –رحمه الله-. وقد أفتى الشيخ محمد بن إبراهيم –رحمه الله- واللجنة الدائمة للبحوث العلمية والإفتاء بالسعودية بالحالة الثالثة من حالات الخطب في نيجيريا (رقم ب).</w:t>
      </w:r>
    </w:p>
    <w:p w:rsidR="003B4B80" w:rsidRPr="00995110" w:rsidRDefault="003B4B80" w:rsidP="003B4B80">
      <w:pPr>
        <w:autoSpaceDE w:val="0"/>
        <w:autoSpaceDN w:val="0"/>
        <w:bidi/>
        <w:adjustRightInd w:val="0"/>
        <w:spacing w:after="240"/>
        <w:jc w:val="both"/>
        <w:rPr>
          <w:rFonts w:ascii="Traditional Arabic" w:hAnsi="Traditional Arabic" w:cs="Traditional Arabic"/>
          <w:color w:val="000000"/>
          <w:sz w:val="36"/>
          <w:szCs w:val="36"/>
          <w:rtl/>
        </w:rPr>
      </w:pPr>
      <w:r w:rsidRPr="00995110">
        <w:rPr>
          <w:rFonts w:ascii="Traditional Arabic" w:hAnsi="Traditional Arabic" w:cs="Traditional Arabic"/>
          <w:color w:val="000000"/>
          <w:sz w:val="36"/>
          <w:szCs w:val="36"/>
          <w:rtl/>
        </w:rPr>
        <w:t>ينبغي أن  يستفيدَ علماؤنا مما عند المذاهب الأخرى، لا سيما إذا كان في ذلك تحقيقٌ لمصلحة عامة كهذه. ولا يجمُلُ بهم الاعتذار بأننا مالكيُّون، يجب علينا الأخذ بكل ما في المذهب؛ فإن ذلك مخالفٌ لما عليه واقعنا. كم من فتوى تمسكنا بها وهي على خلاف المذهب حين رأينا المصلحة في الشاطئ الآخر!</w:t>
      </w:r>
    </w:p>
    <w:p w:rsidR="003B4B80" w:rsidRPr="00995110" w:rsidRDefault="003B4B80" w:rsidP="003B4B80">
      <w:pPr>
        <w:autoSpaceDE w:val="0"/>
        <w:autoSpaceDN w:val="0"/>
        <w:bidi/>
        <w:adjustRightInd w:val="0"/>
        <w:spacing w:after="240"/>
        <w:jc w:val="both"/>
        <w:rPr>
          <w:rFonts w:ascii="Traditional Arabic" w:hAnsi="Traditional Arabic" w:cs="Traditional Arabic"/>
          <w:color w:val="000000"/>
          <w:sz w:val="36"/>
          <w:szCs w:val="36"/>
          <w:rtl/>
        </w:rPr>
      </w:pPr>
      <w:r w:rsidRPr="00995110">
        <w:rPr>
          <w:rFonts w:ascii="Traditional Arabic" w:hAnsi="Traditional Arabic" w:cs="Traditional Arabic"/>
          <w:color w:val="000000"/>
          <w:sz w:val="36"/>
          <w:szCs w:val="36"/>
          <w:rtl/>
        </w:rPr>
        <w:t>والحمد لله الذي بنعمته تتم الصالحاتُ.</w:t>
      </w:r>
    </w:p>
    <w:p w:rsidR="00043E13" w:rsidRPr="003B4B80" w:rsidRDefault="00043E13" w:rsidP="003B4B80">
      <w:pPr>
        <w:bidi/>
        <w:rPr>
          <w:rFonts w:hint="cs"/>
          <w:rtl/>
        </w:rPr>
      </w:pPr>
    </w:p>
    <w:sectPr w:rsidR="00043E13" w:rsidRPr="003B4B80">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18B" w:rsidRDefault="00D8518B" w:rsidP="003B4B80">
      <w:r>
        <w:separator/>
      </w:r>
    </w:p>
  </w:endnote>
  <w:endnote w:type="continuationSeparator" w:id="0">
    <w:p w:rsidR="00D8518B" w:rsidRDefault="00D8518B" w:rsidP="003B4B80">
      <w:r>
        <w:continuationSeparator/>
      </w:r>
    </w:p>
  </w:endnote>
  <w:endnote w:id="1">
    <w:p w:rsidR="001D2150" w:rsidRPr="00995110" w:rsidRDefault="001D2150" w:rsidP="00995110">
      <w:pPr>
        <w:pStyle w:val="EndnoteText"/>
        <w:bidi/>
        <w:rPr>
          <w:rFonts w:cs="AL-Hotham" w:hint="cs"/>
          <w:sz w:val="24"/>
          <w:szCs w:val="24"/>
          <w:rtl/>
        </w:rPr>
      </w:pPr>
      <w:r>
        <w:rPr>
          <w:rStyle w:val="EndnoteReference"/>
          <w:rFonts w:cs="AL-Hotham" w:hint="cs"/>
          <w:sz w:val="24"/>
          <w:szCs w:val="24"/>
          <w:rtl/>
        </w:rPr>
        <w:t>1</w:t>
      </w:r>
      <w:r>
        <w:rPr>
          <w:rFonts w:cs="AL-Hotham" w:hint="cs"/>
          <w:sz w:val="24"/>
          <w:szCs w:val="24"/>
          <w:rtl/>
        </w:rPr>
        <w:t>- انظر: ابن منظور، محمد بن مكرم الإفريقي،</w:t>
      </w:r>
      <w:r w:rsidRPr="00995110">
        <w:rPr>
          <w:rFonts w:cs="AL-Hotham" w:hint="cs"/>
          <w:sz w:val="24"/>
          <w:szCs w:val="24"/>
          <w:rtl/>
        </w:rPr>
        <w:t xml:space="preserve"> </w:t>
      </w:r>
      <w:r w:rsidRPr="00995110">
        <w:rPr>
          <w:rFonts w:cs="AL-Hotham" w:hint="cs"/>
          <w:sz w:val="24"/>
          <w:szCs w:val="24"/>
          <w:u w:val="single"/>
          <w:rtl/>
        </w:rPr>
        <w:t>لسان العرب</w:t>
      </w:r>
      <w:r w:rsidRPr="00995110">
        <w:rPr>
          <w:rFonts w:cs="AL-Hotham" w:hint="cs"/>
          <w:sz w:val="24"/>
          <w:szCs w:val="24"/>
          <w:rtl/>
        </w:rPr>
        <w:t xml:space="preserve">، ط: 1، دار صادر، بيروت، </w:t>
      </w:r>
      <w:r>
        <w:rPr>
          <w:rFonts w:cs="AL-Hotham" w:hint="cs"/>
          <w:sz w:val="24"/>
          <w:szCs w:val="24"/>
          <w:rtl/>
        </w:rPr>
        <w:t xml:space="preserve">بدون تاريخ، </w:t>
      </w:r>
      <w:r w:rsidRPr="00995110">
        <w:rPr>
          <w:rFonts w:cs="AL-Hotham" w:hint="cs"/>
          <w:sz w:val="24"/>
          <w:szCs w:val="24"/>
          <w:rtl/>
        </w:rPr>
        <w:t>ج1 ص: 360.</w:t>
      </w:r>
    </w:p>
  </w:endnote>
  <w:endnote w:id="2">
    <w:p w:rsidR="001D2150" w:rsidRPr="00995110" w:rsidRDefault="001D2150" w:rsidP="009605F5">
      <w:pPr>
        <w:pStyle w:val="EndnoteText"/>
        <w:bidi/>
        <w:rPr>
          <w:rFonts w:cs="AL-Hotham" w:hint="cs"/>
          <w:sz w:val="24"/>
          <w:szCs w:val="24"/>
          <w:rtl/>
        </w:rPr>
      </w:pPr>
      <w:r>
        <w:rPr>
          <w:rStyle w:val="EndnoteReference"/>
          <w:rFonts w:cs="AL-Hotham" w:hint="cs"/>
          <w:sz w:val="24"/>
          <w:szCs w:val="24"/>
          <w:rtl/>
        </w:rPr>
        <w:t>2</w:t>
      </w:r>
      <w:r w:rsidRPr="00995110">
        <w:rPr>
          <w:rFonts w:cs="AL-Hotham"/>
          <w:sz w:val="24"/>
          <w:szCs w:val="24"/>
        </w:rPr>
        <w:t xml:space="preserve"> </w:t>
      </w:r>
      <w:r w:rsidRPr="00995110">
        <w:rPr>
          <w:rFonts w:cs="AL-Hotham" w:hint="cs"/>
          <w:sz w:val="24"/>
          <w:szCs w:val="24"/>
          <w:rtl/>
        </w:rPr>
        <w:t xml:space="preserve">- الفيروزآبادي، </w:t>
      </w:r>
      <w:r>
        <w:rPr>
          <w:rFonts w:cs="AL-Hotham" w:hint="cs"/>
          <w:sz w:val="24"/>
          <w:szCs w:val="24"/>
          <w:rtl/>
        </w:rPr>
        <w:t xml:space="preserve">محمد بن يعقوب، </w:t>
      </w:r>
      <w:r w:rsidRPr="00995110">
        <w:rPr>
          <w:rFonts w:cs="AL-Hotham" w:hint="cs"/>
          <w:sz w:val="24"/>
          <w:szCs w:val="24"/>
          <w:rtl/>
        </w:rPr>
        <w:t xml:space="preserve"> </w:t>
      </w:r>
      <w:r w:rsidRPr="00995110">
        <w:rPr>
          <w:rFonts w:cs="AL-Hotham" w:hint="cs"/>
          <w:sz w:val="24"/>
          <w:szCs w:val="24"/>
          <w:u w:val="single"/>
          <w:rtl/>
        </w:rPr>
        <w:t>القاموس المحيط</w:t>
      </w:r>
      <w:r w:rsidRPr="00995110">
        <w:rPr>
          <w:rFonts w:cs="AL-Hotham" w:hint="cs"/>
          <w:sz w:val="24"/>
          <w:szCs w:val="24"/>
          <w:rtl/>
        </w:rPr>
        <w:t xml:space="preserve">، مؤسسة الرسالة، بيروت، </w:t>
      </w:r>
      <w:r>
        <w:rPr>
          <w:rFonts w:cs="AL-Hotham" w:hint="cs"/>
          <w:sz w:val="24"/>
          <w:szCs w:val="24"/>
          <w:rtl/>
        </w:rPr>
        <w:t xml:space="preserve">2000م، </w:t>
      </w:r>
      <w:r w:rsidRPr="00995110">
        <w:rPr>
          <w:rFonts w:cs="AL-Hotham" w:hint="cs"/>
          <w:sz w:val="24"/>
          <w:szCs w:val="24"/>
          <w:rtl/>
        </w:rPr>
        <w:t>مادة: خ ط ب.</w:t>
      </w:r>
    </w:p>
  </w:endnote>
  <w:endnote w:id="3">
    <w:p w:rsidR="001D2150" w:rsidRPr="00995110" w:rsidRDefault="001D2150" w:rsidP="003B4B80">
      <w:pPr>
        <w:pStyle w:val="EndnoteText"/>
        <w:bidi/>
        <w:rPr>
          <w:rFonts w:cs="AL-Hotham" w:hint="cs"/>
          <w:sz w:val="24"/>
          <w:szCs w:val="24"/>
          <w:rtl/>
        </w:rPr>
      </w:pPr>
      <w:r>
        <w:rPr>
          <w:rStyle w:val="EndnoteReference"/>
          <w:rFonts w:cs="AL-Hotham" w:hint="cs"/>
          <w:sz w:val="24"/>
          <w:szCs w:val="24"/>
          <w:rtl/>
        </w:rPr>
        <w:t>3</w:t>
      </w:r>
      <w:r w:rsidRPr="00995110">
        <w:rPr>
          <w:rFonts w:cs="AL-Hotham" w:hint="cs"/>
          <w:sz w:val="24"/>
          <w:szCs w:val="24"/>
          <w:rtl/>
        </w:rPr>
        <w:t xml:space="preserve">- الحجيلان، </w:t>
      </w:r>
      <w:r>
        <w:rPr>
          <w:rFonts w:cs="AL-Hotham" w:hint="cs"/>
          <w:sz w:val="24"/>
          <w:szCs w:val="24"/>
          <w:rtl/>
        </w:rPr>
        <w:t>عبد العزيز بن محمد،</w:t>
      </w:r>
      <w:r w:rsidRPr="00995110">
        <w:rPr>
          <w:rFonts w:cs="AL-Hotham" w:hint="cs"/>
          <w:sz w:val="24"/>
          <w:szCs w:val="24"/>
          <w:rtl/>
        </w:rPr>
        <w:t xml:space="preserve"> </w:t>
      </w:r>
      <w:r w:rsidRPr="00995110">
        <w:rPr>
          <w:rFonts w:cs="AL-Hotham" w:hint="cs"/>
          <w:sz w:val="24"/>
          <w:szCs w:val="24"/>
          <w:u w:val="single"/>
          <w:rtl/>
        </w:rPr>
        <w:t>خطبة الجمعة وأحكامها الفقهية</w:t>
      </w:r>
      <w:r w:rsidRPr="00995110">
        <w:rPr>
          <w:rFonts w:cs="AL-Hotham" w:hint="cs"/>
          <w:sz w:val="24"/>
          <w:szCs w:val="24"/>
          <w:rtl/>
        </w:rPr>
        <w:t xml:space="preserve">، مركز البحوث والدراسات الإسلامية، الرياض، </w:t>
      </w:r>
      <w:r>
        <w:rPr>
          <w:rFonts w:cs="AL-Hotham" w:hint="cs"/>
          <w:sz w:val="24"/>
          <w:szCs w:val="24"/>
          <w:rtl/>
        </w:rPr>
        <w:t xml:space="preserve">1423ه، </w:t>
      </w:r>
      <w:r w:rsidRPr="00995110">
        <w:rPr>
          <w:rFonts w:cs="AL-Hotham" w:hint="cs"/>
          <w:sz w:val="24"/>
          <w:szCs w:val="24"/>
          <w:rtl/>
        </w:rPr>
        <w:t>ص: 17.</w:t>
      </w:r>
    </w:p>
  </w:endnote>
  <w:endnote w:id="4">
    <w:p w:rsidR="001D2150" w:rsidRPr="00995110" w:rsidRDefault="001D2150" w:rsidP="009605F5">
      <w:pPr>
        <w:pStyle w:val="EndnoteText"/>
        <w:bidi/>
        <w:rPr>
          <w:rFonts w:cs="AL-Hotham" w:hint="cs"/>
          <w:sz w:val="24"/>
          <w:szCs w:val="24"/>
          <w:rtl/>
        </w:rPr>
      </w:pPr>
      <w:r>
        <w:rPr>
          <w:rStyle w:val="EndnoteReference"/>
          <w:rFonts w:cs="AL-Hotham" w:hint="cs"/>
          <w:sz w:val="24"/>
          <w:szCs w:val="24"/>
          <w:rtl/>
        </w:rPr>
        <w:t>4</w:t>
      </w:r>
      <w:r w:rsidRPr="00995110">
        <w:rPr>
          <w:rFonts w:cs="AL-Hotham"/>
          <w:sz w:val="24"/>
          <w:szCs w:val="24"/>
        </w:rPr>
        <w:t xml:space="preserve"> </w:t>
      </w:r>
      <w:r w:rsidRPr="00995110">
        <w:rPr>
          <w:rFonts w:cs="AL-Hotham" w:hint="cs"/>
          <w:sz w:val="24"/>
          <w:szCs w:val="24"/>
          <w:rtl/>
        </w:rPr>
        <w:t>- محفوظ، ع</w:t>
      </w:r>
      <w:r>
        <w:rPr>
          <w:rFonts w:cs="AL-Hotham" w:hint="cs"/>
          <w:sz w:val="24"/>
          <w:szCs w:val="24"/>
          <w:rtl/>
        </w:rPr>
        <w:t>لي،</w:t>
      </w:r>
      <w:r w:rsidRPr="00995110">
        <w:rPr>
          <w:rFonts w:cs="AL-Hotham" w:hint="cs"/>
          <w:sz w:val="24"/>
          <w:szCs w:val="24"/>
          <w:rtl/>
        </w:rPr>
        <w:t xml:space="preserve"> (1984م) </w:t>
      </w:r>
      <w:r w:rsidRPr="00995110">
        <w:rPr>
          <w:rFonts w:cs="AL-Hotham" w:hint="cs"/>
          <w:sz w:val="24"/>
          <w:szCs w:val="24"/>
          <w:u w:val="single"/>
          <w:rtl/>
        </w:rPr>
        <w:t>فن الخطابة وإعداد الخطيب</w:t>
      </w:r>
      <w:r w:rsidRPr="00995110">
        <w:rPr>
          <w:rFonts w:cs="AL-Hotham" w:hint="cs"/>
          <w:sz w:val="24"/>
          <w:szCs w:val="24"/>
          <w:rtl/>
        </w:rPr>
        <w:t>، دار الاعتصام، مصر،</w:t>
      </w:r>
      <w:r>
        <w:rPr>
          <w:rFonts w:cs="AL-Hotham" w:hint="cs"/>
          <w:sz w:val="24"/>
          <w:szCs w:val="24"/>
          <w:rtl/>
        </w:rPr>
        <w:t>1984م، ص: 16.</w:t>
      </w:r>
    </w:p>
  </w:endnote>
  <w:endnote w:id="5">
    <w:p w:rsidR="001D2150" w:rsidRPr="00995110" w:rsidRDefault="001D2150" w:rsidP="003B4B80">
      <w:pPr>
        <w:pStyle w:val="EndnoteText"/>
        <w:bidi/>
        <w:rPr>
          <w:rFonts w:cs="AL-Hotham" w:hint="cs"/>
          <w:sz w:val="24"/>
          <w:szCs w:val="24"/>
          <w:rtl/>
        </w:rPr>
      </w:pPr>
      <w:r>
        <w:rPr>
          <w:rStyle w:val="EndnoteReference"/>
          <w:rFonts w:cs="AL-Hotham" w:hint="cs"/>
          <w:sz w:val="24"/>
          <w:szCs w:val="24"/>
          <w:rtl/>
        </w:rPr>
        <w:t>5</w:t>
      </w:r>
      <w:r w:rsidRPr="00995110">
        <w:rPr>
          <w:rFonts w:cs="AL-Hotham" w:hint="cs"/>
          <w:sz w:val="24"/>
          <w:szCs w:val="24"/>
          <w:rtl/>
        </w:rPr>
        <w:t>- القطان، م</w:t>
      </w:r>
      <w:r>
        <w:rPr>
          <w:rFonts w:cs="AL-Hotham" w:hint="cs"/>
          <w:sz w:val="24"/>
          <w:szCs w:val="24"/>
          <w:rtl/>
        </w:rPr>
        <w:t>ناع،</w:t>
      </w:r>
      <w:r w:rsidRPr="00995110">
        <w:rPr>
          <w:rFonts w:cs="AL-Hotham" w:hint="cs"/>
          <w:sz w:val="24"/>
          <w:szCs w:val="24"/>
          <w:rtl/>
        </w:rPr>
        <w:t xml:space="preserve"> (بدون تاريخ) </w:t>
      </w:r>
      <w:r w:rsidRPr="00995110">
        <w:rPr>
          <w:rFonts w:cs="AL-Hotham" w:hint="cs"/>
          <w:sz w:val="24"/>
          <w:szCs w:val="24"/>
          <w:u w:val="single"/>
          <w:rtl/>
        </w:rPr>
        <w:t>تفسير القطان</w:t>
      </w:r>
      <w:r>
        <w:rPr>
          <w:rFonts w:cs="AL-Hotham" w:hint="cs"/>
          <w:sz w:val="24"/>
          <w:szCs w:val="24"/>
          <w:rtl/>
        </w:rPr>
        <w:t xml:space="preserve">، </w:t>
      </w:r>
      <w:r w:rsidRPr="00995110">
        <w:rPr>
          <w:rFonts w:cs="AL-Hotham" w:hint="cs"/>
          <w:sz w:val="24"/>
          <w:szCs w:val="24"/>
          <w:rtl/>
        </w:rPr>
        <w:t xml:space="preserve">الإصدار الثاني، </w:t>
      </w:r>
      <w:r>
        <w:rPr>
          <w:rFonts w:cs="AL-Hotham" w:hint="cs"/>
          <w:sz w:val="24"/>
          <w:szCs w:val="24"/>
          <w:rtl/>
        </w:rPr>
        <w:t xml:space="preserve">بدون تاريخ، </w:t>
      </w:r>
      <w:r w:rsidRPr="00995110">
        <w:rPr>
          <w:rFonts w:cs="AL-Hotham" w:hint="cs"/>
          <w:sz w:val="24"/>
          <w:szCs w:val="24"/>
          <w:rtl/>
        </w:rPr>
        <w:t>ج1 ص: 307.</w:t>
      </w:r>
    </w:p>
  </w:endnote>
  <w:endnote w:id="6">
    <w:p w:rsidR="001D2150" w:rsidRPr="00995110" w:rsidRDefault="001D2150" w:rsidP="003B4B80">
      <w:pPr>
        <w:pStyle w:val="EndnoteText"/>
        <w:bidi/>
        <w:rPr>
          <w:rFonts w:cs="AL-Hotham" w:hint="cs"/>
          <w:sz w:val="24"/>
          <w:szCs w:val="24"/>
          <w:rtl/>
        </w:rPr>
      </w:pPr>
      <w:r>
        <w:rPr>
          <w:rStyle w:val="EndnoteReference"/>
          <w:rFonts w:cs="AL-Hotham" w:hint="cs"/>
          <w:sz w:val="24"/>
          <w:szCs w:val="24"/>
          <w:rtl/>
        </w:rPr>
        <w:t>6</w:t>
      </w:r>
      <w:r w:rsidRPr="00995110">
        <w:rPr>
          <w:rFonts w:cs="AL-Hotham" w:hint="cs"/>
          <w:sz w:val="24"/>
          <w:szCs w:val="24"/>
          <w:rtl/>
        </w:rPr>
        <w:t xml:space="preserve">- محفوظ، </w:t>
      </w:r>
      <w:r>
        <w:rPr>
          <w:rFonts w:cs="AL-Hotham" w:hint="cs"/>
          <w:sz w:val="24"/>
          <w:szCs w:val="24"/>
          <w:rtl/>
        </w:rPr>
        <w:t xml:space="preserve">علي، </w:t>
      </w:r>
      <w:r w:rsidRPr="00995110">
        <w:rPr>
          <w:rFonts w:cs="AL-Hotham" w:hint="cs"/>
          <w:sz w:val="24"/>
          <w:szCs w:val="24"/>
          <w:rtl/>
        </w:rPr>
        <w:t>المرجع السابق، ص: 69.</w:t>
      </w:r>
    </w:p>
  </w:endnote>
  <w:endnote w:id="7">
    <w:p w:rsidR="001D2150" w:rsidRPr="00995110" w:rsidRDefault="001D2150" w:rsidP="003B4B80">
      <w:pPr>
        <w:pStyle w:val="EndnoteText"/>
        <w:bidi/>
        <w:rPr>
          <w:rFonts w:cs="AL-Hotham" w:hint="cs"/>
          <w:sz w:val="24"/>
          <w:szCs w:val="24"/>
          <w:rtl/>
        </w:rPr>
      </w:pPr>
      <w:r>
        <w:rPr>
          <w:rStyle w:val="EndnoteReference"/>
          <w:rFonts w:cs="AL-Hotham" w:hint="cs"/>
          <w:sz w:val="24"/>
          <w:szCs w:val="24"/>
          <w:rtl/>
        </w:rPr>
        <w:t>7</w:t>
      </w:r>
      <w:r w:rsidRPr="00995110">
        <w:rPr>
          <w:rFonts w:cs="AL-Hotham" w:hint="cs"/>
          <w:sz w:val="24"/>
          <w:szCs w:val="24"/>
          <w:rtl/>
        </w:rPr>
        <w:t>-  المرجع السابق، ص: 20.</w:t>
      </w:r>
    </w:p>
  </w:endnote>
  <w:endnote w:id="8">
    <w:p w:rsidR="001D2150" w:rsidRPr="00995110" w:rsidRDefault="001D2150" w:rsidP="009605F5">
      <w:pPr>
        <w:pStyle w:val="EndnoteText"/>
        <w:bidi/>
        <w:rPr>
          <w:rFonts w:cs="AL-Hotham" w:hint="cs"/>
          <w:sz w:val="24"/>
          <w:szCs w:val="24"/>
          <w:rtl/>
        </w:rPr>
      </w:pPr>
      <w:r>
        <w:rPr>
          <w:rStyle w:val="EndnoteReference"/>
          <w:rFonts w:cs="AL-Hotham" w:hint="cs"/>
          <w:sz w:val="24"/>
          <w:szCs w:val="24"/>
          <w:rtl/>
        </w:rPr>
        <w:t>8</w:t>
      </w:r>
      <w:r w:rsidRPr="00995110">
        <w:rPr>
          <w:rFonts w:cs="AL-Hotham" w:hint="cs"/>
          <w:sz w:val="24"/>
          <w:szCs w:val="24"/>
          <w:rtl/>
        </w:rPr>
        <w:t>- ضيف، ش</w:t>
      </w:r>
      <w:r>
        <w:rPr>
          <w:rFonts w:cs="AL-Hotham" w:hint="cs"/>
          <w:sz w:val="24"/>
          <w:szCs w:val="24"/>
          <w:rtl/>
        </w:rPr>
        <w:t xml:space="preserve">وقي،  </w:t>
      </w:r>
      <w:r w:rsidRPr="00995110">
        <w:rPr>
          <w:rFonts w:cs="AL-Hotham" w:hint="cs"/>
          <w:sz w:val="24"/>
          <w:szCs w:val="24"/>
          <w:u w:val="single"/>
          <w:rtl/>
        </w:rPr>
        <w:t>العصر الجاهلي</w:t>
      </w:r>
      <w:r w:rsidRPr="00995110">
        <w:rPr>
          <w:rFonts w:cs="AL-Hotham" w:hint="cs"/>
          <w:sz w:val="24"/>
          <w:szCs w:val="24"/>
          <w:rtl/>
        </w:rPr>
        <w:t xml:space="preserve"> (ضمن سلسلة تاريخ الأدب العربي)، ط: 24، دار المعارف، مصر، </w:t>
      </w:r>
      <w:r>
        <w:rPr>
          <w:rFonts w:cs="AL-Hotham" w:hint="cs"/>
          <w:sz w:val="24"/>
          <w:szCs w:val="24"/>
          <w:rtl/>
        </w:rPr>
        <w:t xml:space="preserve">2003م، </w:t>
      </w:r>
      <w:r w:rsidRPr="00995110">
        <w:rPr>
          <w:rFonts w:cs="AL-Hotham" w:hint="cs"/>
          <w:sz w:val="24"/>
          <w:szCs w:val="24"/>
          <w:rtl/>
        </w:rPr>
        <w:t>ص: 410.</w:t>
      </w:r>
      <w:r>
        <w:rPr>
          <w:rFonts w:cs="AL-Hotham" w:hint="cs"/>
          <w:sz w:val="24"/>
          <w:szCs w:val="24"/>
          <w:rtl/>
        </w:rPr>
        <w:t>.</w:t>
      </w:r>
    </w:p>
  </w:endnote>
  <w:endnote w:id="9">
    <w:p w:rsidR="001D2150" w:rsidRPr="00995110" w:rsidRDefault="001D2150" w:rsidP="009605F5">
      <w:pPr>
        <w:pStyle w:val="EndnoteText"/>
        <w:bidi/>
        <w:rPr>
          <w:rFonts w:cs="AL-Hotham" w:hint="cs"/>
          <w:sz w:val="24"/>
          <w:szCs w:val="24"/>
          <w:rtl/>
        </w:rPr>
      </w:pPr>
      <w:r>
        <w:rPr>
          <w:rStyle w:val="EndnoteReference"/>
          <w:rFonts w:cs="AL-Hotham" w:hint="cs"/>
          <w:sz w:val="24"/>
          <w:szCs w:val="24"/>
          <w:rtl/>
        </w:rPr>
        <w:t>9</w:t>
      </w:r>
      <w:r w:rsidRPr="00995110">
        <w:rPr>
          <w:rFonts w:cs="AL-Hotham" w:hint="cs"/>
          <w:sz w:val="24"/>
          <w:szCs w:val="24"/>
          <w:rtl/>
        </w:rPr>
        <w:t>- مزهر، ع</w:t>
      </w:r>
      <w:r>
        <w:rPr>
          <w:rFonts w:cs="AL-Hotham" w:hint="cs"/>
          <w:sz w:val="24"/>
          <w:szCs w:val="24"/>
          <w:rtl/>
        </w:rPr>
        <w:t>بد الغني أحمد جبر،</w:t>
      </w:r>
      <w:r w:rsidRPr="00995110">
        <w:rPr>
          <w:rFonts w:cs="AL-Hotham" w:hint="cs"/>
          <w:sz w:val="24"/>
          <w:szCs w:val="24"/>
          <w:rtl/>
        </w:rPr>
        <w:t xml:space="preserve"> (1422هـ) </w:t>
      </w:r>
      <w:r w:rsidRPr="00995110">
        <w:rPr>
          <w:rFonts w:cs="AL-Hotham" w:hint="cs"/>
          <w:sz w:val="24"/>
          <w:szCs w:val="24"/>
          <w:u w:val="single"/>
          <w:rtl/>
        </w:rPr>
        <w:t>خطبة الجمعة ودورها في تربية الأمة</w:t>
      </w:r>
      <w:r w:rsidRPr="00995110">
        <w:rPr>
          <w:rFonts w:cs="AL-Hotham" w:hint="cs"/>
          <w:sz w:val="24"/>
          <w:szCs w:val="24"/>
          <w:rtl/>
        </w:rPr>
        <w:t>، ط: 1، وزاة الشؤون الإسلامية بالمملكة العربية السعودية، (مستقى من المكتبة الشاملة، الإصدار الثاني)</w:t>
      </w:r>
      <w:r>
        <w:rPr>
          <w:rFonts w:cs="AL-Hotham" w:hint="cs"/>
          <w:sz w:val="24"/>
          <w:szCs w:val="24"/>
          <w:rtl/>
        </w:rPr>
        <w:t xml:space="preserve"> 1422ه</w:t>
      </w:r>
      <w:r w:rsidRPr="00995110">
        <w:rPr>
          <w:rFonts w:cs="AL-Hotham" w:hint="cs"/>
          <w:sz w:val="24"/>
          <w:szCs w:val="24"/>
          <w:rtl/>
        </w:rPr>
        <w:t>، ص: 3.</w:t>
      </w:r>
    </w:p>
  </w:endnote>
  <w:endnote w:id="10">
    <w:p w:rsidR="001D2150" w:rsidRPr="00995110" w:rsidRDefault="001D2150" w:rsidP="009605F5">
      <w:pPr>
        <w:pStyle w:val="EndnoteText"/>
        <w:bidi/>
        <w:rPr>
          <w:rFonts w:cs="AL-Hotham" w:hint="cs"/>
          <w:sz w:val="24"/>
          <w:szCs w:val="24"/>
          <w:rtl/>
        </w:rPr>
      </w:pPr>
      <w:r>
        <w:rPr>
          <w:rStyle w:val="EndnoteReference"/>
          <w:rFonts w:cs="AL-Hotham" w:hint="cs"/>
          <w:sz w:val="24"/>
          <w:szCs w:val="24"/>
          <w:rtl/>
        </w:rPr>
        <w:t>1</w:t>
      </w:r>
      <w:r w:rsidRPr="00995110">
        <w:rPr>
          <w:rFonts w:cs="AL-Hotham" w:hint="cs"/>
          <w:sz w:val="24"/>
          <w:szCs w:val="24"/>
          <w:vertAlign w:val="superscript"/>
          <w:rtl/>
        </w:rPr>
        <w:t>0</w:t>
      </w:r>
      <w:r>
        <w:rPr>
          <w:rFonts w:cs="AL-Hotham" w:hint="cs"/>
          <w:sz w:val="24"/>
          <w:szCs w:val="24"/>
          <w:rtl/>
        </w:rPr>
        <w:t xml:space="preserve">- الهاشمي، أحمد، </w:t>
      </w:r>
      <w:r w:rsidRPr="00995110">
        <w:rPr>
          <w:rFonts w:cs="AL-Hotham" w:hint="cs"/>
          <w:sz w:val="24"/>
          <w:szCs w:val="24"/>
          <w:rtl/>
        </w:rPr>
        <w:t xml:space="preserve"> </w:t>
      </w:r>
      <w:r w:rsidRPr="00995110">
        <w:rPr>
          <w:rFonts w:cs="AL-Hotham" w:hint="cs"/>
          <w:sz w:val="24"/>
          <w:szCs w:val="24"/>
          <w:u w:val="single"/>
          <w:rtl/>
        </w:rPr>
        <w:t>جواهر الأدب في أدبيات وإنشاء لغة العرب</w:t>
      </w:r>
      <w:r w:rsidRPr="00995110">
        <w:rPr>
          <w:rFonts w:cs="AL-Hotham" w:hint="cs"/>
          <w:sz w:val="24"/>
          <w:szCs w:val="24"/>
          <w:rtl/>
        </w:rPr>
        <w:t xml:space="preserve">، ط: 35، دار الكتب العلمية، بيروت، </w:t>
      </w:r>
      <w:r>
        <w:rPr>
          <w:rFonts w:cs="AL-Hotham" w:hint="cs"/>
          <w:sz w:val="24"/>
          <w:szCs w:val="24"/>
          <w:rtl/>
        </w:rPr>
        <w:t xml:space="preserve">1416ه، </w:t>
      </w:r>
      <w:r w:rsidRPr="00995110">
        <w:rPr>
          <w:rFonts w:cs="AL-Hotham" w:hint="cs"/>
          <w:sz w:val="24"/>
          <w:szCs w:val="24"/>
          <w:rtl/>
        </w:rPr>
        <w:t>ج2 ص: 335.</w:t>
      </w:r>
    </w:p>
  </w:endnote>
  <w:endnote w:id="11">
    <w:p w:rsidR="001D2150" w:rsidRPr="00995110" w:rsidRDefault="001D2150" w:rsidP="009605F5">
      <w:pPr>
        <w:pStyle w:val="EndnoteText"/>
        <w:bidi/>
        <w:rPr>
          <w:rFonts w:cs="AL-Hotham" w:hint="cs"/>
          <w:sz w:val="24"/>
          <w:szCs w:val="24"/>
          <w:rtl/>
        </w:rPr>
      </w:pPr>
      <w:r>
        <w:rPr>
          <w:rStyle w:val="EndnoteReference"/>
          <w:rFonts w:cs="AL-Hotham" w:hint="cs"/>
          <w:sz w:val="24"/>
          <w:szCs w:val="24"/>
          <w:rtl/>
        </w:rPr>
        <w:t>1</w:t>
      </w:r>
      <w:r w:rsidRPr="000170AF">
        <w:rPr>
          <w:rFonts w:cs="AL-Hotham" w:hint="cs"/>
          <w:sz w:val="24"/>
          <w:szCs w:val="24"/>
          <w:vertAlign w:val="superscript"/>
          <w:rtl/>
        </w:rPr>
        <w:t>1</w:t>
      </w:r>
      <w:r w:rsidRPr="00995110">
        <w:rPr>
          <w:rFonts w:cs="AL-Hotham"/>
          <w:sz w:val="24"/>
          <w:szCs w:val="24"/>
        </w:rPr>
        <w:t xml:space="preserve"> </w:t>
      </w:r>
      <w:r w:rsidRPr="00995110">
        <w:rPr>
          <w:rFonts w:cs="AL-Hotham" w:hint="cs"/>
          <w:sz w:val="24"/>
          <w:szCs w:val="24"/>
          <w:rtl/>
        </w:rPr>
        <w:t xml:space="preserve">- صفوت، </w:t>
      </w:r>
      <w:r>
        <w:rPr>
          <w:rFonts w:cs="AL-Hotham" w:hint="cs"/>
          <w:sz w:val="24"/>
          <w:szCs w:val="24"/>
          <w:rtl/>
        </w:rPr>
        <w:t>أحمد زكي،</w:t>
      </w:r>
      <w:r w:rsidRPr="00995110">
        <w:rPr>
          <w:rFonts w:cs="AL-Hotham" w:hint="cs"/>
          <w:sz w:val="24"/>
          <w:szCs w:val="24"/>
          <w:rtl/>
        </w:rPr>
        <w:t xml:space="preserve"> </w:t>
      </w:r>
      <w:r w:rsidRPr="00995110">
        <w:rPr>
          <w:rFonts w:cs="AL-Hotham" w:hint="cs"/>
          <w:sz w:val="24"/>
          <w:szCs w:val="24"/>
          <w:u w:val="single"/>
          <w:rtl/>
        </w:rPr>
        <w:t>جمهرة خطب العرب</w:t>
      </w:r>
      <w:r w:rsidRPr="00995110">
        <w:rPr>
          <w:rFonts w:cs="AL-Hotham" w:hint="cs"/>
          <w:sz w:val="24"/>
          <w:szCs w:val="24"/>
          <w:rtl/>
        </w:rPr>
        <w:t xml:space="preserve">، المكتبة العلمية، بيروت، </w:t>
      </w:r>
      <w:r>
        <w:rPr>
          <w:rFonts w:cs="AL-Hotham" w:hint="cs"/>
          <w:sz w:val="24"/>
          <w:szCs w:val="24"/>
          <w:rtl/>
        </w:rPr>
        <w:t xml:space="preserve">بدون تاريخ، </w:t>
      </w:r>
      <w:r w:rsidRPr="00995110">
        <w:rPr>
          <w:rFonts w:cs="AL-Hotham" w:hint="cs"/>
          <w:sz w:val="24"/>
          <w:szCs w:val="24"/>
          <w:rtl/>
        </w:rPr>
        <w:t>ج1 ص: 147.</w:t>
      </w:r>
    </w:p>
  </w:endnote>
  <w:endnote w:id="12">
    <w:p w:rsidR="001D2150" w:rsidRPr="00995110" w:rsidRDefault="001D2150" w:rsidP="009605F5">
      <w:pPr>
        <w:pStyle w:val="EndnoteText"/>
        <w:bidi/>
        <w:rPr>
          <w:rFonts w:cs="AL-Hotham" w:hint="cs"/>
          <w:sz w:val="24"/>
          <w:szCs w:val="24"/>
          <w:rtl/>
        </w:rPr>
      </w:pPr>
      <w:r>
        <w:rPr>
          <w:rStyle w:val="EndnoteReference"/>
          <w:rFonts w:cs="AL-Hotham" w:hint="cs"/>
          <w:sz w:val="24"/>
          <w:szCs w:val="24"/>
          <w:rtl/>
        </w:rPr>
        <w:t>1</w:t>
      </w:r>
      <w:r w:rsidRPr="000170AF">
        <w:rPr>
          <w:rFonts w:cs="AL-Hotham" w:hint="cs"/>
          <w:sz w:val="24"/>
          <w:szCs w:val="24"/>
          <w:vertAlign w:val="superscript"/>
          <w:rtl/>
        </w:rPr>
        <w:t>2</w:t>
      </w:r>
      <w:r w:rsidRPr="00995110">
        <w:rPr>
          <w:rFonts w:cs="AL-Hotham"/>
          <w:sz w:val="24"/>
          <w:szCs w:val="24"/>
        </w:rPr>
        <w:t xml:space="preserve"> </w:t>
      </w:r>
      <w:r w:rsidRPr="00995110">
        <w:rPr>
          <w:rFonts w:cs="AL-Hotham" w:hint="cs"/>
          <w:sz w:val="24"/>
          <w:szCs w:val="24"/>
          <w:rtl/>
        </w:rPr>
        <w:t>- ابن خلدون، ع</w:t>
      </w:r>
      <w:r>
        <w:rPr>
          <w:rFonts w:cs="AL-Hotham" w:hint="cs"/>
          <w:sz w:val="24"/>
          <w:szCs w:val="24"/>
          <w:rtl/>
        </w:rPr>
        <w:t xml:space="preserve">بد الرحمن، </w:t>
      </w:r>
      <w:r w:rsidRPr="00995110">
        <w:rPr>
          <w:rFonts w:cs="AL-Hotham" w:hint="cs"/>
          <w:sz w:val="24"/>
          <w:szCs w:val="24"/>
          <w:rtl/>
        </w:rPr>
        <w:t xml:space="preserve"> </w:t>
      </w:r>
      <w:r w:rsidRPr="00995110">
        <w:rPr>
          <w:rFonts w:cs="AL-Hotham" w:hint="cs"/>
          <w:sz w:val="24"/>
          <w:szCs w:val="24"/>
          <w:u w:val="single"/>
          <w:rtl/>
        </w:rPr>
        <w:t>المقدمة</w:t>
      </w:r>
      <w:r w:rsidRPr="00995110">
        <w:rPr>
          <w:rFonts w:cs="AL-Hotham" w:hint="cs"/>
          <w:sz w:val="24"/>
          <w:szCs w:val="24"/>
          <w:rtl/>
        </w:rPr>
        <w:t>، الفصل السابع والثلاثون، (المكتبة الشاملة، الإصدار الثاني)، ص: 145.</w:t>
      </w:r>
    </w:p>
  </w:endnote>
  <w:endnote w:id="13">
    <w:p w:rsidR="001D2150" w:rsidRPr="00995110" w:rsidRDefault="001D2150" w:rsidP="003B4B80">
      <w:pPr>
        <w:autoSpaceDE w:val="0"/>
        <w:autoSpaceDN w:val="0"/>
        <w:bidi/>
        <w:adjustRightInd w:val="0"/>
        <w:jc w:val="both"/>
        <w:rPr>
          <w:rFonts w:ascii="DecoType Naskh Special" w:hAnsi="DecoType Naskh Special" w:cs="AL-Hotham" w:hint="cs"/>
          <w:rtl/>
        </w:rPr>
      </w:pPr>
      <w:r>
        <w:rPr>
          <w:rStyle w:val="EndnoteReference"/>
          <w:rFonts w:cs="AL-Hotham" w:hint="cs"/>
          <w:rtl/>
        </w:rPr>
        <w:t>1</w:t>
      </w:r>
      <w:r w:rsidRPr="000170AF">
        <w:rPr>
          <w:rFonts w:cs="AL-Hotham" w:hint="cs"/>
          <w:vertAlign w:val="superscript"/>
          <w:rtl/>
        </w:rPr>
        <w:t>3</w:t>
      </w:r>
      <w:r w:rsidRPr="00995110">
        <w:rPr>
          <w:rFonts w:cs="AL-Hotham"/>
        </w:rPr>
        <w:t xml:space="preserve"> </w:t>
      </w:r>
      <w:r w:rsidRPr="00995110">
        <w:rPr>
          <w:rFonts w:cs="AL-Hotham" w:hint="cs"/>
          <w:rtl/>
        </w:rPr>
        <w:t xml:space="preserve">- </w:t>
      </w:r>
      <w:r w:rsidRPr="00995110">
        <w:rPr>
          <w:rFonts w:cs="AL-Hotham" w:hint="eastAsia"/>
          <w:rtl/>
        </w:rPr>
        <w:t>عن</w:t>
      </w:r>
      <w:r w:rsidRPr="00995110">
        <w:rPr>
          <w:rFonts w:cs="AL-Hotham"/>
          <w:rtl/>
        </w:rPr>
        <w:t xml:space="preserve"> </w:t>
      </w:r>
      <w:r w:rsidRPr="00995110">
        <w:rPr>
          <w:rFonts w:cs="AL-Hotham" w:hint="eastAsia"/>
          <w:rtl/>
        </w:rPr>
        <w:t>جابر</w:t>
      </w:r>
      <w:r w:rsidRPr="00995110">
        <w:rPr>
          <w:rFonts w:cs="AL-Hotham"/>
          <w:rtl/>
        </w:rPr>
        <w:t xml:space="preserve"> </w:t>
      </w:r>
      <w:r w:rsidRPr="00995110">
        <w:rPr>
          <w:rFonts w:cs="AL-Hotham" w:hint="eastAsia"/>
          <w:rtl/>
        </w:rPr>
        <w:t>بن</w:t>
      </w:r>
      <w:r w:rsidRPr="00995110">
        <w:rPr>
          <w:rFonts w:cs="AL-Hotham"/>
          <w:rtl/>
        </w:rPr>
        <w:t xml:space="preserve"> </w:t>
      </w:r>
      <w:r w:rsidRPr="00995110">
        <w:rPr>
          <w:rFonts w:cs="AL-Hotham" w:hint="eastAsia"/>
          <w:rtl/>
        </w:rPr>
        <w:t>سمرة</w:t>
      </w:r>
      <w:r w:rsidRPr="00995110">
        <w:rPr>
          <w:rFonts w:cs="AL-Hotham"/>
          <w:rtl/>
        </w:rPr>
        <w:t xml:space="preserve"> </w:t>
      </w:r>
      <w:r w:rsidRPr="00995110">
        <w:rPr>
          <w:rFonts w:cs="AL-Hotham" w:hint="eastAsia"/>
          <w:rtl/>
        </w:rPr>
        <w:t>«</w:t>
      </w:r>
      <w:r w:rsidRPr="00995110">
        <w:rPr>
          <w:rFonts w:cs="AL-Hotham"/>
          <w:rtl/>
        </w:rPr>
        <w:t xml:space="preserve"> </w:t>
      </w:r>
      <w:r w:rsidRPr="00995110">
        <w:rPr>
          <w:rFonts w:cs="AL-Hotham" w:hint="eastAsia"/>
          <w:rtl/>
        </w:rPr>
        <w:t>أن</w:t>
      </w:r>
      <w:r w:rsidRPr="00995110">
        <w:rPr>
          <w:rFonts w:cs="AL-Hotham"/>
          <w:rtl/>
        </w:rPr>
        <w:t xml:space="preserve"> </w:t>
      </w:r>
      <w:r w:rsidRPr="00995110">
        <w:rPr>
          <w:rFonts w:cs="AL-Hotham" w:hint="eastAsia"/>
          <w:rtl/>
        </w:rPr>
        <w:t>رسول</w:t>
      </w:r>
      <w:r w:rsidRPr="00995110">
        <w:rPr>
          <w:rFonts w:cs="AL-Hotham"/>
          <w:rtl/>
        </w:rPr>
        <w:t xml:space="preserve"> </w:t>
      </w:r>
      <w:r w:rsidRPr="00995110">
        <w:rPr>
          <w:rFonts w:cs="AL-Hotham" w:hint="eastAsia"/>
          <w:rtl/>
        </w:rPr>
        <w:t>الله</w:t>
      </w:r>
      <w:r w:rsidRPr="00995110">
        <w:rPr>
          <w:rFonts w:cs="AL-Hotham"/>
          <w:rtl/>
        </w:rPr>
        <w:t xml:space="preserve"> - </w:t>
      </w:r>
      <w:r w:rsidRPr="00995110">
        <w:rPr>
          <w:rFonts w:cs="AL-Hotham" w:hint="eastAsia"/>
          <w:rtl/>
        </w:rPr>
        <w:t>صلى</w:t>
      </w:r>
      <w:r w:rsidRPr="00995110">
        <w:rPr>
          <w:rFonts w:cs="AL-Hotham"/>
          <w:rtl/>
        </w:rPr>
        <w:t xml:space="preserve"> </w:t>
      </w:r>
      <w:r w:rsidRPr="00995110">
        <w:rPr>
          <w:rFonts w:cs="AL-Hotham" w:hint="eastAsia"/>
          <w:rtl/>
        </w:rPr>
        <w:t>الله</w:t>
      </w:r>
      <w:r w:rsidRPr="00995110">
        <w:rPr>
          <w:rFonts w:cs="AL-Hotham"/>
          <w:rtl/>
        </w:rPr>
        <w:t xml:space="preserve"> </w:t>
      </w:r>
      <w:r w:rsidRPr="00995110">
        <w:rPr>
          <w:rFonts w:cs="AL-Hotham" w:hint="eastAsia"/>
          <w:rtl/>
        </w:rPr>
        <w:t>عليه</w:t>
      </w:r>
      <w:r w:rsidRPr="00995110">
        <w:rPr>
          <w:rFonts w:cs="AL-Hotham"/>
          <w:rtl/>
        </w:rPr>
        <w:t xml:space="preserve"> </w:t>
      </w:r>
      <w:r w:rsidRPr="00995110">
        <w:rPr>
          <w:rFonts w:cs="AL-Hotham" w:hint="eastAsia"/>
          <w:rtl/>
        </w:rPr>
        <w:t>وسلم</w:t>
      </w:r>
      <w:r w:rsidRPr="00995110">
        <w:rPr>
          <w:rFonts w:cs="AL-Hotham"/>
          <w:rtl/>
        </w:rPr>
        <w:t xml:space="preserve"> - </w:t>
      </w:r>
      <w:r w:rsidRPr="00995110">
        <w:rPr>
          <w:rFonts w:cs="AL-Hotham" w:hint="eastAsia"/>
          <w:rtl/>
        </w:rPr>
        <w:t>كان</w:t>
      </w:r>
      <w:r w:rsidRPr="00995110">
        <w:rPr>
          <w:rFonts w:cs="AL-Hotham"/>
          <w:rtl/>
        </w:rPr>
        <w:t xml:space="preserve"> </w:t>
      </w:r>
      <w:r w:rsidRPr="00995110">
        <w:rPr>
          <w:rFonts w:cs="AL-Hotham" w:hint="eastAsia"/>
          <w:rtl/>
        </w:rPr>
        <w:t>يخطب</w:t>
      </w:r>
      <w:r w:rsidRPr="00995110">
        <w:rPr>
          <w:rFonts w:cs="AL-Hotham"/>
          <w:rtl/>
        </w:rPr>
        <w:t xml:space="preserve"> </w:t>
      </w:r>
      <w:r w:rsidRPr="00995110">
        <w:rPr>
          <w:rFonts w:cs="AL-Hotham" w:hint="eastAsia"/>
          <w:rtl/>
        </w:rPr>
        <w:t>قائما</w:t>
      </w:r>
      <w:r w:rsidRPr="00995110">
        <w:rPr>
          <w:rFonts w:cs="AL-Hotham"/>
          <w:rtl/>
        </w:rPr>
        <w:t xml:space="preserve"> </w:t>
      </w:r>
      <w:r w:rsidRPr="00995110">
        <w:rPr>
          <w:rFonts w:cs="AL-Hotham" w:hint="eastAsia"/>
          <w:rtl/>
        </w:rPr>
        <w:t>ثم</w:t>
      </w:r>
      <w:r w:rsidRPr="00995110">
        <w:rPr>
          <w:rFonts w:cs="AL-Hotham"/>
          <w:rtl/>
        </w:rPr>
        <w:t xml:space="preserve"> </w:t>
      </w:r>
      <w:r w:rsidRPr="00995110">
        <w:rPr>
          <w:rFonts w:cs="AL-Hotham" w:hint="eastAsia"/>
          <w:rtl/>
        </w:rPr>
        <w:t>يجلس</w:t>
      </w:r>
      <w:r w:rsidRPr="00995110">
        <w:rPr>
          <w:rFonts w:cs="AL-Hotham"/>
          <w:rtl/>
        </w:rPr>
        <w:t xml:space="preserve"> </w:t>
      </w:r>
      <w:r w:rsidRPr="00995110">
        <w:rPr>
          <w:rFonts w:cs="AL-Hotham" w:hint="eastAsia"/>
          <w:rtl/>
        </w:rPr>
        <w:t>ثم</w:t>
      </w:r>
      <w:r w:rsidRPr="00995110">
        <w:rPr>
          <w:rFonts w:cs="AL-Hotham"/>
          <w:rtl/>
        </w:rPr>
        <w:t xml:space="preserve"> </w:t>
      </w:r>
      <w:r w:rsidRPr="00995110">
        <w:rPr>
          <w:rFonts w:cs="AL-Hotham" w:hint="eastAsia"/>
          <w:rtl/>
        </w:rPr>
        <w:t>يقوم</w:t>
      </w:r>
      <w:r w:rsidRPr="00995110">
        <w:rPr>
          <w:rFonts w:cs="AL-Hotham"/>
          <w:rtl/>
        </w:rPr>
        <w:t xml:space="preserve"> </w:t>
      </w:r>
      <w:r w:rsidRPr="00995110">
        <w:rPr>
          <w:rFonts w:cs="AL-Hotham" w:hint="eastAsia"/>
          <w:rtl/>
        </w:rPr>
        <w:t>فيخطب</w:t>
      </w:r>
      <w:r w:rsidRPr="00995110">
        <w:rPr>
          <w:rFonts w:cs="AL-Hotham"/>
          <w:rtl/>
        </w:rPr>
        <w:t xml:space="preserve"> </w:t>
      </w:r>
      <w:r w:rsidRPr="00995110">
        <w:rPr>
          <w:rFonts w:cs="AL-Hotham" w:hint="eastAsia"/>
          <w:rtl/>
        </w:rPr>
        <w:t>قائما</w:t>
      </w:r>
      <w:r w:rsidRPr="00995110">
        <w:rPr>
          <w:rFonts w:cs="AL-Hotham"/>
          <w:rtl/>
        </w:rPr>
        <w:t xml:space="preserve"> </w:t>
      </w:r>
      <w:r w:rsidRPr="00995110">
        <w:rPr>
          <w:rFonts w:cs="AL-Hotham" w:hint="eastAsia"/>
          <w:rtl/>
        </w:rPr>
        <w:t>فمن</w:t>
      </w:r>
      <w:r w:rsidRPr="00995110">
        <w:rPr>
          <w:rFonts w:cs="AL-Hotham"/>
          <w:rtl/>
        </w:rPr>
        <w:t xml:space="preserve"> </w:t>
      </w:r>
      <w:r w:rsidRPr="00995110">
        <w:rPr>
          <w:rFonts w:cs="AL-Hotham" w:hint="eastAsia"/>
          <w:rtl/>
        </w:rPr>
        <w:t>نبأك</w:t>
      </w:r>
      <w:r w:rsidRPr="00995110">
        <w:rPr>
          <w:rFonts w:cs="AL-Hotham"/>
          <w:rtl/>
        </w:rPr>
        <w:t xml:space="preserve"> </w:t>
      </w:r>
      <w:r w:rsidRPr="00995110">
        <w:rPr>
          <w:rFonts w:cs="AL-Hotham" w:hint="eastAsia"/>
          <w:rtl/>
        </w:rPr>
        <w:t>أنه</w:t>
      </w:r>
      <w:r w:rsidRPr="00995110">
        <w:rPr>
          <w:rFonts w:cs="AL-Hotham"/>
          <w:rtl/>
        </w:rPr>
        <w:t xml:space="preserve"> </w:t>
      </w:r>
      <w:r w:rsidRPr="00995110">
        <w:rPr>
          <w:rFonts w:cs="AL-Hotham" w:hint="eastAsia"/>
          <w:rtl/>
        </w:rPr>
        <w:t>كان</w:t>
      </w:r>
      <w:r w:rsidRPr="00995110">
        <w:rPr>
          <w:rFonts w:cs="AL-Hotham"/>
          <w:rtl/>
        </w:rPr>
        <w:t xml:space="preserve"> </w:t>
      </w:r>
      <w:r w:rsidRPr="00995110">
        <w:rPr>
          <w:rFonts w:cs="AL-Hotham" w:hint="eastAsia"/>
          <w:rtl/>
        </w:rPr>
        <w:t>يخطب</w:t>
      </w:r>
      <w:r w:rsidRPr="00995110">
        <w:rPr>
          <w:rFonts w:cs="AL-Hotham"/>
          <w:rtl/>
        </w:rPr>
        <w:t xml:space="preserve"> </w:t>
      </w:r>
      <w:r w:rsidRPr="00995110">
        <w:rPr>
          <w:rFonts w:cs="AL-Hotham" w:hint="eastAsia"/>
          <w:rtl/>
        </w:rPr>
        <w:t>جالسا</w:t>
      </w:r>
      <w:r w:rsidRPr="00995110">
        <w:rPr>
          <w:rFonts w:cs="AL-Hotham"/>
          <w:rtl/>
        </w:rPr>
        <w:t xml:space="preserve"> </w:t>
      </w:r>
      <w:r w:rsidRPr="00995110">
        <w:rPr>
          <w:rFonts w:cs="AL-Hotham" w:hint="eastAsia"/>
          <w:rtl/>
        </w:rPr>
        <w:t>فقد</w:t>
      </w:r>
      <w:r w:rsidRPr="00995110">
        <w:rPr>
          <w:rFonts w:cs="AL-Hotham"/>
          <w:rtl/>
        </w:rPr>
        <w:t xml:space="preserve"> </w:t>
      </w:r>
      <w:r w:rsidRPr="00995110">
        <w:rPr>
          <w:rFonts w:cs="AL-Hotham" w:hint="eastAsia"/>
          <w:rtl/>
        </w:rPr>
        <w:t>كذب،</w:t>
      </w:r>
      <w:r w:rsidRPr="00995110">
        <w:rPr>
          <w:rFonts w:cs="AL-Hotham"/>
          <w:rtl/>
        </w:rPr>
        <w:t xml:space="preserve"> </w:t>
      </w:r>
      <w:r w:rsidRPr="00995110">
        <w:rPr>
          <w:rFonts w:cs="AL-Hotham" w:hint="eastAsia"/>
          <w:rtl/>
        </w:rPr>
        <w:t>والله</w:t>
      </w:r>
      <w:r w:rsidRPr="00995110">
        <w:rPr>
          <w:rFonts w:cs="AL-Hotham"/>
          <w:rtl/>
        </w:rPr>
        <w:t xml:space="preserve"> </w:t>
      </w:r>
      <w:r w:rsidRPr="00995110">
        <w:rPr>
          <w:rFonts w:cs="AL-Hotham" w:hint="eastAsia"/>
          <w:rtl/>
        </w:rPr>
        <w:t>صليت</w:t>
      </w:r>
      <w:r w:rsidRPr="00995110">
        <w:rPr>
          <w:rFonts w:cs="AL-Hotham"/>
          <w:rtl/>
        </w:rPr>
        <w:t xml:space="preserve"> </w:t>
      </w:r>
      <w:r w:rsidRPr="00995110">
        <w:rPr>
          <w:rFonts w:cs="AL-Hotham" w:hint="eastAsia"/>
          <w:rtl/>
        </w:rPr>
        <w:t>معه</w:t>
      </w:r>
      <w:r w:rsidRPr="00995110">
        <w:rPr>
          <w:rFonts w:cs="AL-Hotham"/>
          <w:rtl/>
        </w:rPr>
        <w:t xml:space="preserve"> </w:t>
      </w:r>
      <w:r w:rsidRPr="00995110">
        <w:rPr>
          <w:rFonts w:cs="AL-Hotham" w:hint="eastAsia"/>
          <w:rtl/>
        </w:rPr>
        <w:t>أكثر</w:t>
      </w:r>
      <w:r w:rsidRPr="00995110">
        <w:rPr>
          <w:rFonts w:cs="AL-Hotham"/>
          <w:rtl/>
        </w:rPr>
        <w:t xml:space="preserve"> </w:t>
      </w:r>
      <w:r w:rsidRPr="00995110">
        <w:rPr>
          <w:rFonts w:cs="AL-Hotham" w:hint="eastAsia"/>
          <w:rtl/>
        </w:rPr>
        <w:t>من</w:t>
      </w:r>
      <w:r w:rsidRPr="00995110">
        <w:rPr>
          <w:rFonts w:cs="AL-Hotham"/>
          <w:rtl/>
        </w:rPr>
        <w:t xml:space="preserve"> </w:t>
      </w:r>
      <w:r w:rsidRPr="00995110">
        <w:rPr>
          <w:rFonts w:cs="AL-Hotham" w:hint="eastAsia"/>
          <w:rtl/>
        </w:rPr>
        <w:t>ألفي</w:t>
      </w:r>
      <w:r w:rsidRPr="00995110">
        <w:rPr>
          <w:rFonts w:cs="AL-Hotham"/>
          <w:rtl/>
        </w:rPr>
        <w:t xml:space="preserve"> </w:t>
      </w:r>
      <w:r w:rsidRPr="00995110">
        <w:rPr>
          <w:rFonts w:cs="AL-Hotham" w:hint="eastAsia"/>
          <w:rtl/>
        </w:rPr>
        <w:t>صلاة</w:t>
      </w:r>
      <w:r w:rsidRPr="00995110">
        <w:rPr>
          <w:rFonts w:cs="AL-Hotham"/>
          <w:rtl/>
        </w:rPr>
        <w:t xml:space="preserve"> </w:t>
      </w:r>
      <w:r w:rsidRPr="00995110">
        <w:rPr>
          <w:rFonts w:cs="AL-Hotham" w:hint="eastAsia"/>
          <w:rtl/>
        </w:rPr>
        <w:t>»</w:t>
      </w:r>
      <w:r w:rsidRPr="00995110">
        <w:rPr>
          <w:rFonts w:cs="AL-Hotham"/>
          <w:rtl/>
        </w:rPr>
        <w:t xml:space="preserve"> . </w:t>
      </w:r>
      <w:r w:rsidRPr="00995110">
        <w:rPr>
          <w:rFonts w:cs="AL-Hotham" w:hint="eastAsia"/>
          <w:rtl/>
        </w:rPr>
        <w:t>رواه</w:t>
      </w:r>
      <w:r w:rsidRPr="00995110">
        <w:rPr>
          <w:rFonts w:cs="AL-Hotham"/>
          <w:rtl/>
        </w:rPr>
        <w:t xml:space="preserve"> </w:t>
      </w:r>
      <w:r w:rsidRPr="00995110">
        <w:rPr>
          <w:rFonts w:cs="AL-Hotham" w:hint="eastAsia"/>
          <w:rtl/>
        </w:rPr>
        <w:t>مسلم</w:t>
      </w:r>
      <w:r w:rsidRPr="00995110">
        <w:rPr>
          <w:rFonts w:cs="AL-Hotham" w:hint="cs"/>
          <w:rtl/>
        </w:rPr>
        <w:t xml:space="preserve">. وهذا الحديث هو مقتضى قوله الله تعالى: </w:t>
      </w:r>
      <w:r w:rsidRPr="00995110">
        <w:rPr>
          <w:rFonts w:ascii="QCF_BSML" w:hAnsi="QCF_BSML" w:cs="QCF_BSML" w:hint="cs"/>
          <w:color w:val="000000"/>
          <w:sz w:val="47"/>
          <w:szCs w:val="47"/>
          <w:rtl/>
        </w:rPr>
        <w:t xml:space="preserve"> </w:t>
      </w:r>
      <w:r w:rsidRPr="00995110">
        <w:rPr>
          <w:rFonts w:ascii="QCF_BSML" w:hAnsi="QCF_BSML" w:cs="QCF_BSML"/>
          <w:color w:val="000000"/>
          <w:sz w:val="47"/>
          <w:szCs w:val="47"/>
          <w:rtl/>
        </w:rPr>
        <w:t xml:space="preserve"> </w:t>
      </w:r>
      <w:r w:rsidRPr="009605F5">
        <w:rPr>
          <w:rFonts w:ascii="QCF_BSML" w:hAnsi="QCF_BSML" w:cs="QCF_BSML"/>
          <w:rtl/>
        </w:rPr>
        <w:t xml:space="preserve">ﭽ </w:t>
      </w:r>
      <w:r w:rsidRPr="009605F5">
        <w:rPr>
          <w:rFonts w:ascii="QCF_P554" w:hAnsi="QCF_P554" w:cs="QCF_P554"/>
          <w:rtl/>
        </w:rPr>
        <w:t xml:space="preserve">ﭿ  ﮀﮁ  </w:t>
      </w:r>
      <w:r w:rsidRPr="009605F5">
        <w:rPr>
          <w:rFonts w:ascii="QCF_BSML" w:hAnsi="QCF_BSML" w:cs="QCF_BSML"/>
          <w:rtl/>
        </w:rPr>
        <w:t>ﭼ</w:t>
      </w:r>
      <w:r w:rsidRPr="009605F5">
        <w:rPr>
          <w:rFonts w:ascii="Arial" w:hAnsi="Arial" w:cs="Arial"/>
          <w:color w:val="000000"/>
          <w:rtl/>
        </w:rPr>
        <w:t xml:space="preserve"> </w:t>
      </w:r>
      <w:r w:rsidRPr="009605F5">
        <w:rPr>
          <w:rFonts w:ascii="Arial" w:hAnsi="Arial" w:cs="Arial" w:hint="cs"/>
          <w:color w:val="9DAB0C"/>
          <w:rtl/>
        </w:rPr>
        <w:t xml:space="preserve"> </w:t>
      </w:r>
      <w:r w:rsidRPr="009605F5">
        <w:rPr>
          <w:rFonts w:asciiTheme="minorBidi" w:hAnsiTheme="minorBidi" w:cstheme="minorBidi"/>
          <w:rtl/>
        </w:rPr>
        <w:t>[الجمعة: ١١].</w:t>
      </w:r>
    </w:p>
  </w:endnote>
  <w:endnote w:id="14">
    <w:p w:rsidR="001D2150" w:rsidRPr="00995110" w:rsidRDefault="001D2150" w:rsidP="009605F5">
      <w:pPr>
        <w:pStyle w:val="EndnoteText"/>
        <w:bidi/>
        <w:jc w:val="both"/>
        <w:rPr>
          <w:rFonts w:cs="AL-Hotham" w:hint="cs"/>
          <w:sz w:val="24"/>
          <w:szCs w:val="24"/>
          <w:rtl/>
        </w:rPr>
      </w:pPr>
      <w:r>
        <w:rPr>
          <w:rStyle w:val="EndnoteReference"/>
          <w:rFonts w:cs="AL-Hotham" w:hint="cs"/>
          <w:sz w:val="24"/>
          <w:szCs w:val="24"/>
          <w:rtl/>
        </w:rPr>
        <w:t>1</w:t>
      </w:r>
      <w:r w:rsidRPr="000170AF">
        <w:rPr>
          <w:rFonts w:cs="AL-Hotham" w:hint="cs"/>
          <w:sz w:val="24"/>
          <w:szCs w:val="24"/>
          <w:vertAlign w:val="superscript"/>
          <w:rtl/>
        </w:rPr>
        <w:t>4</w:t>
      </w:r>
      <w:r w:rsidRPr="00995110">
        <w:rPr>
          <w:rFonts w:cs="AL-Hotham"/>
          <w:sz w:val="24"/>
          <w:szCs w:val="24"/>
        </w:rPr>
        <w:t xml:space="preserve"> </w:t>
      </w:r>
      <w:r w:rsidRPr="00995110">
        <w:rPr>
          <w:rFonts w:cs="AL-Hotham" w:hint="cs"/>
          <w:sz w:val="24"/>
          <w:szCs w:val="24"/>
          <w:rtl/>
        </w:rPr>
        <w:t xml:space="preserve">- السيوطي، </w:t>
      </w:r>
      <w:r>
        <w:rPr>
          <w:rFonts w:cs="AL-Hotham" w:hint="cs"/>
          <w:sz w:val="24"/>
          <w:szCs w:val="24"/>
          <w:rtl/>
        </w:rPr>
        <w:t xml:space="preserve">جلال الدين، </w:t>
      </w:r>
      <w:r w:rsidRPr="00995110">
        <w:rPr>
          <w:rFonts w:cs="AL-Hotham" w:hint="cs"/>
          <w:sz w:val="24"/>
          <w:szCs w:val="24"/>
          <w:u w:val="single"/>
          <w:rtl/>
        </w:rPr>
        <w:t>تاريخ الخلفاء</w:t>
      </w:r>
      <w:r w:rsidRPr="00995110">
        <w:rPr>
          <w:rFonts w:cs="AL-Hotham" w:hint="cs"/>
          <w:sz w:val="24"/>
          <w:szCs w:val="24"/>
          <w:rtl/>
        </w:rPr>
        <w:t xml:space="preserve">، ط: 1، تحقيق محيي الدين عبد الحميد، مطبعة السعادة، مصر، </w:t>
      </w:r>
      <w:r>
        <w:rPr>
          <w:rFonts w:cs="AL-Hotham" w:hint="cs"/>
          <w:sz w:val="24"/>
          <w:szCs w:val="24"/>
          <w:rtl/>
        </w:rPr>
        <w:t xml:space="preserve">1371ه، </w:t>
      </w:r>
      <w:r w:rsidRPr="00995110">
        <w:rPr>
          <w:rFonts w:cs="AL-Hotham" w:hint="cs"/>
          <w:sz w:val="24"/>
          <w:szCs w:val="24"/>
          <w:rtl/>
        </w:rPr>
        <w:t>ص: 201.</w:t>
      </w:r>
    </w:p>
  </w:endnote>
  <w:endnote w:id="15">
    <w:p w:rsidR="001D2150" w:rsidRPr="00995110" w:rsidRDefault="001D2150" w:rsidP="009605F5">
      <w:pPr>
        <w:pStyle w:val="EndnoteText"/>
        <w:bidi/>
        <w:rPr>
          <w:rFonts w:cs="AL-Hotham" w:hint="cs"/>
          <w:sz w:val="24"/>
          <w:szCs w:val="24"/>
          <w:rtl/>
        </w:rPr>
      </w:pPr>
      <w:r>
        <w:rPr>
          <w:rStyle w:val="EndnoteReference"/>
          <w:rFonts w:cs="AL-Hotham" w:hint="cs"/>
          <w:sz w:val="24"/>
          <w:szCs w:val="24"/>
          <w:rtl/>
        </w:rPr>
        <w:t>1</w:t>
      </w:r>
      <w:r w:rsidRPr="000170AF">
        <w:rPr>
          <w:rFonts w:cs="AL-Hotham" w:hint="cs"/>
          <w:sz w:val="24"/>
          <w:szCs w:val="24"/>
          <w:vertAlign w:val="superscript"/>
          <w:rtl/>
        </w:rPr>
        <w:t>5</w:t>
      </w:r>
      <w:r w:rsidRPr="00995110">
        <w:rPr>
          <w:rFonts w:cs="AL-Hotham"/>
          <w:sz w:val="24"/>
          <w:szCs w:val="24"/>
        </w:rPr>
        <w:t xml:space="preserve"> </w:t>
      </w:r>
      <w:r w:rsidRPr="00995110">
        <w:rPr>
          <w:rFonts w:cs="AL-Hotham" w:hint="cs"/>
          <w:sz w:val="24"/>
          <w:szCs w:val="24"/>
          <w:rtl/>
        </w:rPr>
        <w:t xml:space="preserve">- القشيري، </w:t>
      </w:r>
      <w:r>
        <w:rPr>
          <w:rFonts w:cs="AL-Hotham" w:hint="cs"/>
          <w:sz w:val="24"/>
          <w:szCs w:val="24"/>
          <w:rtl/>
        </w:rPr>
        <w:t xml:space="preserve">مسلم بن الحسين، </w:t>
      </w:r>
      <w:r w:rsidRPr="00995110">
        <w:rPr>
          <w:rFonts w:cs="AL-Hotham" w:hint="cs"/>
          <w:sz w:val="24"/>
          <w:szCs w:val="24"/>
          <w:u w:val="single"/>
          <w:rtl/>
        </w:rPr>
        <w:t>صحيح مسلم</w:t>
      </w:r>
      <w:r w:rsidRPr="00995110">
        <w:rPr>
          <w:rFonts w:cs="AL-Hotham" w:hint="cs"/>
          <w:sz w:val="24"/>
          <w:szCs w:val="24"/>
          <w:rtl/>
        </w:rPr>
        <w:t>، الإيمان، باب بيان كون النهي عن المنكر من الإيمان، رقم الحديث (186).</w:t>
      </w:r>
    </w:p>
  </w:endnote>
  <w:endnote w:id="16">
    <w:p w:rsidR="001D2150" w:rsidRPr="00995110" w:rsidRDefault="001D2150" w:rsidP="003B4B80">
      <w:pPr>
        <w:pStyle w:val="EndnoteText"/>
        <w:bidi/>
        <w:rPr>
          <w:rFonts w:cs="AL-Hotham" w:hint="cs"/>
          <w:sz w:val="24"/>
          <w:szCs w:val="24"/>
          <w:rtl/>
        </w:rPr>
      </w:pPr>
      <w:r>
        <w:rPr>
          <w:rStyle w:val="EndnoteReference"/>
          <w:rFonts w:cs="AL-Hotham" w:hint="cs"/>
          <w:sz w:val="24"/>
          <w:szCs w:val="24"/>
          <w:rtl/>
        </w:rPr>
        <w:t>1</w:t>
      </w:r>
      <w:r w:rsidRPr="000170AF">
        <w:rPr>
          <w:rFonts w:cs="AL-Hotham" w:hint="cs"/>
          <w:sz w:val="24"/>
          <w:szCs w:val="24"/>
          <w:vertAlign w:val="superscript"/>
          <w:rtl/>
        </w:rPr>
        <w:t>6</w:t>
      </w:r>
      <w:r w:rsidRPr="00995110">
        <w:rPr>
          <w:rFonts w:cs="AL-Hotham" w:hint="cs"/>
          <w:sz w:val="24"/>
          <w:szCs w:val="24"/>
          <w:rtl/>
        </w:rPr>
        <w:t xml:space="preserve">- ضيف، </w:t>
      </w:r>
      <w:r>
        <w:rPr>
          <w:rFonts w:cs="AL-Hotham" w:hint="cs"/>
          <w:sz w:val="24"/>
          <w:szCs w:val="24"/>
          <w:rtl/>
        </w:rPr>
        <w:t xml:space="preserve">شوقي، </w:t>
      </w:r>
      <w:r w:rsidRPr="00995110">
        <w:rPr>
          <w:rFonts w:cs="AL-Hotham" w:hint="cs"/>
          <w:sz w:val="24"/>
          <w:szCs w:val="24"/>
          <w:rtl/>
        </w:rPr>
        <w:t>المرجع السابق، ص:413.</w:t>
      </w:r>
    </w:p>
  </w:endnote>
  <w:endnote w:id="17">
    <w:p w:rsidR="001D2150" w:rsidRPr="00995110" w:rsidRDefault="001D2150" w:rsidP="003B4B80">
      <w:pPr>
        <w:pStyle w:val="EndnoteText"/>
        <w:bidi/>
        <w:rPr>
          <w:rFonts w:cs="AL-Hotham" w:hint="cs"/>
          <w:rtl/>
        </w:rPr>
      </w:pPr>
      <w:r>
        <w:rPr>
          <w:rStyle w:val="EndnoteReference"/>
          <w:rFonts w:cs="AL-Hotham" w:hint="cs"/>
          <w:rtl/>
        </w:rPr>
        <w:t>1</w:t>
      </w:r>
      <w:r w:rsidRPr="000170AF">
        <w:rPr>
          <w:rFonts w:cs="AL-Hotham" w:hint="cs"/>
          <w:vertAlign w:val="superscript"/>
          <w:rtl/>
        </w:rPr>
        <w:t>7</w:t>
      </w:r>
      <w:r w:rsidRPr="00995110">
        <w:rPr>
          <w:rFonts w:cs="AL-Hotham" w:hint="cs"/>
          <w:sz w:val="24"/>
          <w:szCs w:val="24"/>
          <w:rtl/>
        </w:rPr>
        <w:t xml:space="preserve">- الهاشمي، </w:t>
      </w:r>
      <w:r>
        <w:rPr>
          <w:rFonts w:cs="AL-Hotham" w:hint="cs"/>
          <w:sz w:val="24"/>
          <w:szCs w:val="24"/>
          <w:rtl/>
        </w:rPr>
        <w:t xml:space="preserve">أحمد، </w:t>
      </w:r>
      <w:r w:rsidRPr="00995110">
        <w:rPr>
          <w:rFonts w:cs="AL-Hotham" w:hint="cs"/>
          <w:sz w:val="24"/>
          <w:szCs w:val="24"/>
          <w:rtl/>
        </w:rPr>
        <w:t>المرجع السابق، ج2 ص</w:t>
      </w:r>
      <w:r w:rsidRPr="00995110">
        <w:rPr>
          <w:rFonts w:cs="AL-Hotham" w:hint="cs"/>
          <w:rtl/>
        </w:rPr>
        <w:t xml:space="preserve">: </w:t>
      </w:r>
    </w:p>
  </w:endnote>
  <w:endnote w:id="18">
    <w:p w:rsidR="001D2150" w:rsidRPr="00995110" w:rsidRDefault="001D2150" w:rsidP="009605F5">
      <w:pPr>
        <w:pStyle w:val="EndnoteText"/>
        <w:bidi/>
        <w:rPr>
          <w:rFonts w:cs="AL-Hotham" w:hint="cs"/>
          <w:sz w:val="24"/>
          <w:szCs w:val="24"/>
          <w:rtl/>
        </w:rPr>
      </w:pPr>
      <w:r>
        <w:rPr>
          <w:rStyle w:val="EndnoteReference"/>
          <w:rFonts w:cs="AL-Hotham" w:hint="cs"/>
          <w:sz w:val="24"/>
          <w:szCs w:val="24"/>
          <w:rtl/>
        </w:rPr>
        <w:t>1</w:t>
      </w:r>
      <w:r w:rsidRPr="000170AF">
        <w:rPr>
          <w:rFonts w:cs="AL-Hotham" w:hint="cs"/>
          <w:sz w:val="24"/>
          <w:szCs w:val="24"/>
          <w:vertAlign w:val="superscript"/>
          <w:rtl/>
        </w:rPr>
        <w:t>8</w:t>
      </w:r>
      <w:r w:rsidRPr="00995110">
        <w:rPr>
          <w:rFonts w:cs="AL-Hotham" w:hint="cs"/>
          <w:sz w:val="24"/>
          <w:szCs w:val="24"/>
          <w:rtl/>
        </w:rPr>
        <w:t xml:space="preserve">- العدوي، </w:t>
      </w:r>
      <w:r>
        <w:rPr>
          <w:rFonts w:cs="AL-Hotham" w:hint="cs"/>
          <w:sz w:val="24"/>
          <w:szCs w:val="24"/>
          <w:rtl/>
        </w:rPr>
        <w:t xml:space="preserve">علي بن أحمد، </w:t>
      </w:r>
      <w:r w:rsidRPr="00995110">
        <w:rPr>
          <w:rFonts w:cs="AL-Hotham" w:hint="cs"/>
          <w:sz w:val="24"/>
          <w:szCs w:val="24"/>
          <w:rtl/>
        </w:rPr>
        <w:t xml:space="preserve"> </w:t>
      </w:r>
      <w:r w:rsidRPr="00995110">
        <w:rPr>
          <w:rFonts w:cs="AL-Hotham" w:hint="cs"/>
          <w:sz w:val="24"/>
          <w:szCs w:val="24"/>
          <w:u w:val="single"/>
          <w:rtl/>
        </w:rPr>
        <w:t>حاشية العدوي على شرح أبي الحسن لرسالة ابن أبي زيد</w:t>
      </w:r>
      <w:r w:rsidRPr="00995110">
        <w:rPr>
          <w:rFonts w:cs="AL-Hotham" w:hint="cs"/>
          <w:sz w:val="24"/>
          <w:szCs w:val="24"/>
          <w:rtl/>
        </w:rPr>
        <w:t xml:space="preserve">، دار الفكر، بيروت، </w:t>
      </w:r>
      <w:r>
        <w:rPr>
          <w:rFonts w:cs="AL-Hotham" w:hint="cs"/>
          <w:sz w:val="24"/>
          <w:szCs w:val="24"/>
          <w:rtl/>
        </w:rPr>
        <w:t xml:space="preserve">بدون تاريخ، </w:t>
      </w:r>
      <w:r w:rsidRPr="00995110">
        <w:rPr>
          <w:rFonts w:cs="AL-Hotham" w:hint="cs"/>
          <w:sz w:val="24"/>
          <w:szCs w:val="24"/>
          <w:rtl/>
        </w:rPr>
        <w:t xml:space="preserve">ج1 ص: 331. </w:t>
      </w:r>
      <w:r>
        <w:rPr>
          <w:rFonts w:cs="AL-Hotham" w:hint="cs"/>
          <w:sz w:val="24"/>
          <w:szCs w:val="24"/>
          <w:rtl/>
        </w:rPr>
        <w:t xml:space="preserve"> </w:t>
      </w:r>
      <w:r w:rsidRPr="00995110">
        <w:rPr>
          <w:rFonts w:cs="AL-Hotham" w:hint="cs"/>
          <w:sz w:val="24"/>
          <w:szCs w:val="24"/>
          <w:rtl/>
        </w:rPr>
        <w:t xml:space="preserve">قال </w:t>
      </w:r>
      <w:r w:rsidRPr="00995110">
        <w:rPr>
          <w:rFonts w:cs="AL-Hotham"/>
          <w:sz w:val="24"/>
          <w:szCs w:val="24"/>
          <w:rtl/>
        </w:rPr>
        <w:t>–</w:t>
      </w:r>
      <w:r w:rsidRPr="00995110">
        <w:rPr>
          <w:rFonts w:cs="AL-Hotham" w:hint="cs"/>
          <w:sz w:val="24"/>
          <w:szCs w:val="24"/>
          <w:rtl/>
        </w:rPr>
        <w:t>رحمه الله- "ووقوعها بغير العربية لغوٌ، فإن لم يكن في الجماعة من يعرف العربية والخطيبُ يعرفها وجبتْ أيضا، فإن لم يعرف الخطيبُ عربية لم تجِب".</w:t>
      </w:r>
    </w:p>
  </w:endnote>
  <w:endnote w:id="19">
    <w:p w:rsidR="001D2150" w:rsidRPr="00995110" w:rsidRDefault="001D2150" w:rsidP="003B4B80">
      <w:pPr>
        <w:pStyle w:val="EndnoteText"/>
        <w:bidi/>
        <w:rPr>
          <w:rFonts w:cs="AL-Hotham" w:hint="cs"/>
          <w:sz w:val="24"/>
          <w:szCs w:val="24"/>
          <w:rtl/>
        </w:rPr>
      </w:pPr>
      <w:r>
        <w:rPr>
          <w:rStyle w:val="EndnoteReference"/>
          <w:rFonts w:cs="AL-Hotham" w:hint="cs"/>
          <w:rtl/>
        </w:rPr>
        <w:t>1</w:t>
      </w:r>
      <w:r w:rsidRPr="000170AF">
        <w:rPr>
          <w:rFonts w:cs="AL-Hotham" w:hint="cs"/>
          <w:vertAlign w:val="superscript"/>
          <w:rtl/>
        </w:rPr>
        <w:t>9</w:t>
      </w:r>
      <w:r w:rsidRPr="00995110">
        <w:rPr>
          <w:rFonts w:cs="AL-Hotham" w:hint="cs"/>
          <w:sz w:val="24"/>
          <w:szCs w:val="24"/>
          <w:rtl/>
        </w:rPr>
        <w:t>- فالفعل (أثر) وما تصرف منه يتعدى ب(في) وليس ب(على).</w:t>
      </w:r>
    </w:p>
  </w:endnote>
  <w:endnote w:id="20">
    <w:p w:rsidR="001D2150" w:rsidRPr="00995110" w:rsidRDefault="001D2150" w:rsidP="000170AF">
      <w:pPr>
        <w:pStyle w:val="EndnoteText"/>
        <w:bidi/>
        <w:rPr>
          <w:rFonts w:cs="AL-Hotham" w:hint="cs"/>
          <w:sz w:val="24"/>
          <w:szCs w:val="24"/>
          <w:rtl/>
        </w:rPr>
      </w:pPr>
      <w:r w:rsidRPr="000170AF">
        <w:rPr>
          <w:rStyle w:val="EndnoteReference"/>
          <w:rFonts w:cs="AL-Hotham" w:hint="cs"/>
          <w:sz w:val="24"/>
          <w:szCs w:val="24"/>
          <w:rtl/>
        </w:rPr>
        <w:t>2</w:t>
      </w:r>
      <w:r w:rsidRPr="000170AF">
        <w:rPr>
          <w:rFonts w:cs="AL-Hotham" w:hint="cs"/>
          <w:sz w:val="24"/>
          <w:szCs w:val="24"/>
          <w:vertAlign w:val="superscript"/>
          <w:rtl/>
        </w:rPr>
        <w:t>0</w:t>
      </w:r>
      <w:r w:rsidRPr="00995110">
        <w:rPr>
          <w:rFonts w:cs="AL-Hotham"/>
          <w:sz w:val="24"/>
          <w:szCs w:val="24"/>
        </w:rPr>
        <w:t xml:space="preserve"> </w:t>
      </w:r>
      <w:r w:rsidRPr="00995110">
        <w:rPr>
          <w:rFonts w:cs="AL-Hotham" w:hint="cs"/>
          <w:sz w:val="24"/>
          <w:szCs w:val="24"/>
          <w:rtl/>
        </w:rPr>
        <w:t xml:space="preserve">- الإلوري، </w:t>
      </w:r>
      <w:r>
        <w:rPr>
          <w:rFonts w:cs="AL-Hotham" w:hint="cs"/>
          <w:sz w:val="24"/>
          <w:szCs w:val="24"/>
          <w:rtl/>
        </w:rPr>
        <w:t>آدم بن عبد الله،</w:t>
      </w:r>
      <w:r w:rsidRPr="00995110">
        <w:rPr>
          <w:rFonts w:cs="AL-Hotham" w:hint="cs"/>
          <w:sz w:val="24"/>
          <w:szCs w:val="24"/>
          <w:rtl/>
        </w:rPr>
        <w:t xml:space="preserve"> </w:t>
      </w:r>
      <w:r w:rsidRPr="00995110">
        <w:rPr>
          <w:rFonts w:cs="AL-Hotham" w:hint="cs"/>
          <w:sz w:val="24"/>
          <w:szCs w:val="24"/>
          <w:u w:val="single"/>
          <w:rtl/>
        </w:rPr>
        <w:t>الإسلام في نيجيريا</w:t>
      </w:r>
      <w:r w:rsidRPr="00995110">
        <w:rPr>
          <w:rFonts w:cs="AL-Hotham" w:hint="cs"/>
          <w:sz w:val="24"/>
          <w:szCs w:val="24"/>
          <w:rtl/>
        </w:rPr>
        <w:t xml:space="preserve">، ط: 2، بدون ناشر، </w:t>
      </w:r>
      <w:r>
        <w:rPr>
          <w:rFonts w:cs="AL-Hotham" w:hint="cs"/>
          <w:sz w:val="24"/>
          <w:szCs w:val="24"/>
          <w:rtl/>
        </w:rPr>
        <w:t xml:space="preserve">1391ه، </w:t>
      </w:r>
      <w:r w:rsidRPr="00995110">
        <w:rPr>
          <w:rFonts w:cs="AL-Hotham" w:hint="cs"/>
          <w:sz w:val="24"/>
          <w:szCs w:val="24"/>
          <w:rtl/>
        </w:rPr>
        <w:t>ص: 141.</w:t>
      </w:r>
    </w:p>
  </w:endnote>
  <w:endnote w:id="21">
    <w:p w:rsidR="001D2150" w:rsidRPr="00995110" w:rsidRDefault="001D2150" w:rsidP="003B4B80">
      <w:pPr>
        <w:pStyle w:val="EndnoteText"/>
        <w:bidi/>
        <w:rPr>
          <w:rFonts w:cs="AL-Hotham" w:hint="cs"/>
          <w:sz w:val="24"/>
          <w:szCs w:val="24"/>
          <w:rtl/>
        </w:rPr>
      </w:pPr>
      <w:r>
        <w:rPr>
          <w:rStyle w:val="EndnoteReference"/>
          <w:rFonts w:cs="AL-Hotham" w:hint="cs"/>
          <w:sz w:val="24"/>
          <w:szCs w:val="24"/>
          <w:rtl/>
        </w:rPr>
        <w:t>2</w:t>
      </w:r>
      <w:r w:rsidRPr="000170AF">
        <w:rPr>
          <w:rFonts w:cs="AL-Hotham" w:hint="cs"/>
          <w:sz w:val="24"/>
          <w:szCs w:val="24"/>
          <w:vertAlign w:val="superscript"/>
          <w:rtl/>
        </w:rPr>
        <w:t>1</w:t>
      </w:r>
      <w:r w:rsidRPr="00995110">
        <w:rPr>
          <w:rFonts w:cs="AL-Hotham"/>
          <w:sz w:val="24"/>
          <w:szCs w:val="24"/>
        </w:rPr>
        <w:t xml:space="preserve"> </w:t>
      </w:r>
      <w:r w:rsidRPr="00995110">
        <w:rPr>
          <w:rFonts w:cs="AL-Hotham" w:hint="cs"/>
          <w:sz w:val="24"/>
          <w:szCs w:val="24"/>
          <w:rtl/>
        </w:rPr>
        <w:t xml:space="preserve">- المرجع السابق، ص: 104 </w:t>
      </w:r>
      <w:r w:rsidRPr="00995110">
        <w:rPr>
          <w:rFonts w:cs="AL-Hotham"/>
          <w:sz w:val="24"/>
          <w:szCs w:val="24"/>
          <w:rtl/>
        </w:rPr>
        <w:t>–</w:t>
      </w:r>
      <w:r w:rsidRPr="00995110">
        <w:rPr>
          <w:rFonts w:cs="AL-Hotham" w:hint="cs"/>
          <w:sz w:val="24"/>
          <w:szCs w:val="24"/>
          <w:rtl/>
        </w:rPr>
        <w:t xml:space="preserve"> 108.</w:t>
      </w:r>
    </w:p>
  </w:endnote>
  <w:endnote w:id="22">
    <w:p w:rsidR="001D2150" w:rsidRPr="00995110" w:rsidRDefault="001D2150" w:rsidP="003B4B80">
      <w:pPr>
        <w:pStyle w:val="EndnoteText"/>
        <w:bidi/>
        <w:rPr>
          <w:rFonts w:cs="AL-Hotham" w:hint="cs"/>
          <w:sz w:val="24"/>
          <w:szCs w:val="24"/>
          <w:rtl/>
        </w:rPr>
      </w:pPr>
      <w:r>
        <w:rPr>
          <w:rStyle w:val="EndnoteReference"/>
          <w:rFonts w:cs="AL-Hotham" w:hint="cs"/>
          <w:sz w:val="24"/>
          <w:szCs w:val="24"/>
          <w:rtl/>
        </w:rPr>
        <w:t>2</w:t>
      </w:r>
      <w:r w:rsidRPr="000170AF">
        <w:rPr>
          <w:rFonts w:cs="AL-Hotham" w:hint="cs"/>
          <w:sz w:val="24"/>
          <w:szCs w:val="24"/>
          <w:vertAlign w:val="superscript"/>
          <w:rtl/>
        </w:rPr>
        <w:t>2</w:t>
      </w:r>
      <w:r w:rsidRPr="00995110">
        <w:rPr>
          <w:rFonts w:cs="AL-Hotham" w:hint="cs"/>
          <w:sz w:val="24"/>
          <w:szCs w:val="24"/>
          <w:rtl/>
        </w:rPr>
        <w:t xml:space="preserve">- وأشهرها الخطبة التي افتتحها بقوله: "الحمد لله الموصوف بكمال الصفات وصفات الكمال...". هذه الخطبة وصفها الوزير جنيد </w:t>
      </w:r>
      <w:r w:rsidRPr="00995110">
        <w:rPr>
          <w:rFonts w:cs="AL-Hotham"/>
          <w:sz w:val="24"/>
          <w:szCs w:val="24"/>
          <w:rtl/>
        </w:rPr>
        <w:t>–</w:t>
      </w:r>
      <w:r w:rsidRPr="00995110">
        <w:rPr>
          <w:rFonts w:cs="AL-Hotham" w:hint="cs"/>
          <w:sz w:val="24"/>
          <w:szCs w:val="24"/>
          <w:rtl/>
        </w:rPr>
        <w:t>رحمه الله- بأنها "أم الخطب".</w:t>
      </w:r>
    </w:p>
  </w:endnote>
  <w:endnote w:id="23">
    <w:p w:rsidR="001D2150" w:rsidRPr="00995110" w:rsidRDefault="001D2150" w:rsidP="003B4B80">
      <w:pPr>
        <w:pStyle w:val="EndnoteText"/>
        <w:bidi/>
        <w:rPr>
          <w:rFonts w:cs="AL-Hotham" w:hint="cs"/>
          <w:sz w:val="24"/>
          <w:szCs w:val="24"/>
          <w:rtl/>
        </w:rPr>
      </w:pPr>
      <w:r>
        <w:rPr>
          <w:rStyle w:val="EndnoteReference"/>
          <w:rFonts w:cs="AL-Hotham" w:hint="cs"/>
          <w:rtl/>
        </w:rPr>
        <w:t>2</w:t>
      </w:r>
      <w:r w:rsidRPr="000170AF">
        <w:rPr>
          <w:rFonts w:cs="AL-Hotham" w:hint="cs"/>
          <w:vertAlign w:val="superscript"/>
          <w:rtl/>
        </w:rPr>
        <w:t>3</w:t>
      </w:r>
      <w:r w:rsidRPr="00995110">
        <w:rPr>
          <w:rFonts w:cs="AL-Hotham" w:hint="cs"/>
          <w:sz w:val="24"/>
          <w:szCs w:val="24"/>
          <w:rtl/>
        </w:rPr>
        <w:t xml:space="preserve">- الإلوري، </w:t>
      </w:r>
      <w:r>
        <w:rPr>
          <w:rFonts w:cs="AL-Hotham" w:hint="cs"/>
          <w:sz w:val="24"/>
          <w:szCs w:val="24"/>
          <w:rtl/>
        </w:rPr>
        <w:t xml:space="preserve">آدم بن عبد الله، </w:t>
      </w:r>
      <w:r w:rsidRPr="00995110">
        <w:rPr>
          <w:rFonts w:cs="AL-Hotham" w:hint="cs"/>
          <w:sz w:val="24"/>
          <w:szCs w:val="24"/>
          <w:rtl/>
        </w:rPr>
        <w:t>المرجع السابق، ص: 141.</w:t>
      </w:r>
    </w:p>
  </w:endnote>
  <w:endnote w:id="24">
    <w:p w:rsidR="001D2150" w:rsidRPr="00995110" w:rsidRDefault="001D2150" w:rsidP="003B4B80">
      <w:pPr>
        <w:pStyle w:val="EndnoteText"/>
        <w:bidi/>
        <w:rPr>
          <w:rFonts w:cs="AL-Hotham" w:hint="cs"/>
          <w:sz w:val="24"/>
          <w:szCs w:val="24"/>
          <w:rtl/>
        </w:rPr>
      </w:pPr>
      <w:r>
        <w:rPr>
          <w:rStyle w:val="EndnoteReference"/>
          <w:rFonts w:cs="AL-Hotham" w:hint="cs"/>
          <w:rtl/>
        </w:rPr>
        <w:t>2</w:t>
      </w:r>
      <w:r w:rsidRPr="000170AF">
        <w:rPr>
          <w:rFonts w:cs="AL-Hotham" w:hint="cs"/>
          <w:vertAlign w:val="superscript"/>
          <w:rtl/>
        </w:rPr>
        <w:t>4</w:t>
      </w:r>
      <w:r w:rsidRPr="00995110">
        <w:rPr>
          <w:rFonts w:cs="AL-Hotham"/>
        </w:rPr>
        <w:t xml:space="preserve"> </w:t>
      </w:r>
      <w:r w:rsidRPr="00995110">
        <w:rPr>
          <w:rFonts w:cs="AL-Hotham" w:hint="cs"/>
          <w:sz w:val="24"/>
          <w:szCs w:val="24"/>
          <w:rtl/>
        </w:rPr>
        <w:t>- انظر: ملحق رقم (1) في آخر هذا البحث.</w:t>
      </w:r>
    </w:p>
  </w:endnote>
  <w:endnote w:id="25">
    <w:p w:rsidR="001D2150" w:rsidRPr="00995110" w:rsidRDefault="001D2150" w:rsidP="003B4B80">
      <w:pPr>
        <w:pStyle w:val="EndnoteText"/>
        <w:bidi/>
        <w:rPr>
          <w:rFonts w:hint="cs"/>
          <w:rtl/>
        </w:rPr>
      </w:pPr>
      <w:r>
        <w:rPr>
          <w:rStyle w:val="EndnoteReference"/>
          <w:rFonts w:cs="AL-Hotham" w:hint="cs"/>
          <w:rtl/>
        </w:rPr>
        <w:t>2</w:t>
      </w:r>
      <w:r w:rsidRPr="000170AF">
        <w:rPr>
          <w:rFonts w:cs="AL-Hotham" w:hint="cs"/>
          <w:vertAlign w:val="superscript"/>
          <w:rtl/>
        </w:rPr>
        <w:t>5</w:t>
      </w:r>
      <w:r w:rsidRPr="00995110">
        <w:rPr>
          <w:rFonts w:cs="AL-Hotham" w:hint="cs"/>
          <w:sz w:val="24"/>
          <w:szCs w:val="24"/>
          <w:rtl/>
        </w:rPr>
        <w:t>- هذه الأقوال مستقاةٌ وملخّصةٌ من كتاب "خطبة الجمعة وأحكامها الفقهية"، مرجع سابق، ص: 68 -69.</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DecoType Naskh Special">
    <w:panose1 w:val="000000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QCF_BSML">
    <w:panose1 w:val="02000400000000000000"/>
    <w:charset w:val="00"/>
    <w:family w:val="auto"/>
    <w:pitch w:val="variable"/>
    <w:sig w:usb0="80002003" w:usb1="90000000" w:usb2="00000008" w:usb3="00000000" w:csb0="80000041" w:csb1="00000000"/>
  </w:font>
  <w:font w:name="QCF_P255">
    <w:panose1 w:val="02000400000000000000"/>
    <w:charset w:val="00"/>
    <w:family w:val="auto"/>
    <w:pitch w:val="variable"/>
    <w:sig w:usb0="80002003" w:usb1="90000000" w:usb2="00000008" w:usb3="00000000" w:csb0="80000041" w:csb1="00000000"/>
  </w:font>
  <w:font w:name="AL-Hotham">
    <w:panose1 w:val="00000000000000000000"/>
    <w:charset w:val="B2"/>
    <w:family w:val="auto"/>
    <w:pitch w:val="variable"/>
    <w:sig w:usb0="00002001" w:usb1="00000000" w:usb2="00000000" w:usb3="00000000" w:csb0="00000040" w:csb1="00000000"/>
  </w:font>
  <w:font w:name="QCF_P088">
    <w:panose1 w:val="02000400000000000000"/>
    <w:charset w:val="00"/>
    <w:family w:val="auto"/>
    <w:pitch w:val="variable"/>
    <w:sig w:usb0="80002003" w:usb1="90000000" w:usb2="00000008" w:usb3="00000000" w:csb0="80000041" w:csb1="00000000"/>
  </w:font>
  <w:font w:name="QCF_P008">
    <w:panose1 w:val="02000400000000000000"/>
    <w:charset w:val="00"/>
    <w:family w:val="auto"/>
    <w:pitch w:val="variable"/>
    <w:sig w:usb0="80002003" w:usb1="90000000" w:usb2="00000008" w:usb3="00000000" w:csb0="80000041" w:csb1="00000000"/>
  </w:font>
  <w:font w:name="QCF_P225">
    <w:panose1 w:val="02000400000000000000"/>
    <w:charset w:val="00"/>
    <w:family w:val="auto"/>
    <w:pitch w:val="variable"/>
    <w:sig w:usb0="80002003" w:usb1="90000000" w:usb2="00000008" w:usb3="00000000" w:csb0="80000041" w:csb1="00000000"/>
  </w:font>
  <w:font w:name="QCF_P267">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554">
    <w:panose1 w:val="02000400000000000000"/>
    <w:charset w:val="00"/>
    <w:family w:val="auto"/>
    <w:pitch w:val="variable"/>
    <w:sig w:usb0="80002003" w:usb1="90000000" w:usb2="00000008" w:usb3="00000000" w:csb0="80000041" w:csb1="00000000"/>
  </w:font>
  <w:font w:name="QCF_P277">
    <w:panose1 w:val="02000400000000000000"/>
    <w:charset w:val="00"/>
    <w:family w:val="auto"/>
    <w:pitch w:val="variable"/>
    <w:sig w:usb0="80002003" w:usb1="90000000" w:usb2="00000008" w:usb3="00000000" w:csb0="8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587923"/>
      <w:docPartObj>
        <w:docPartGallery w:val="Page Numbers (Bottom of Page)"/>
        <w:docPartUnique/>
      </w:docPartObj>
    </w:sdtPr>
    <w:sdtEndPr>
      <w:rPr>
        <w:noProof/>
      </w:rPr>
    </w:sdtEndPr>
    <w:sdtContent>
      <w:p w:rsidR="001D2150" w:rsidRDefault="001D2150">
        <w:pPr>
          <w:pStyle w:val="Footer"/>
          <w:jc w:val="center"/>
        </w:pPr>
        <w:r>
          <w:fldChar w:fldCharType="begin"/>
        </w:r>
        <w:r>
          <w:instrText xml:space="preserve"> PAGE   \* MERGEFORMAT </w:instrText>
        </w:r>
        <w:r>
          <w:fldChar w:fldCharType="separate"/>
        </w:r>
        <w:r w:rsidR="009C5915">
          <w:rPr>
            <w:noProof/>
          </w:rPr>
          <w:t>3</w:t>
        </w:r>
        <w:r>
          <w:rPr>
            <w:noProof/>
          </w:rPr>
          <w:fldChar w:fldCharType="end"/>
        </w:r>
      </w:p>
    </w:sdtContent>
  </w:sdt>
  <w:p w:rsidR="001D2150" w:rsidRDefault="001D21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18B" w:rsidRDefault="00D8518B" w:rsidP="003B4B80">
      <w:r>
        <w:separator/>
      </w:r>
    </w:p>
  </w:footnote>
  <w:footnote w:type="continuationSeparator" w:id="0">
    <w:p w:rsidR="00D8518B" w:rsidRDefault="00D8518B" w:rsidP="003B4B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84BF7"/>
    <w:multiLevelType w:val="hybridMultilevel"/>
    <w:tmpl w:val="B7D61F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8F036F2"/>
    <w:multiLevelType w:val="hybridMultilevel"/>
    <w:tmpl w:val="61FC77D2"/>
    <w:lvl w:ilvl="0" w:tplc="0A9EBC3C">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9A132E6"/>
    <w:multiLevelType w:val="hybridMultilevel"/>
    <w:tmpl w:val="100E65B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78952B9"/>
    <w:multiLevelType w:val="hybridMultilevel"/>
    <w:tmpl w:val="2B1AD6A2"/>
    <w:lvl w:ilvl="0" w:tplc="62AE292E">
      <w:numFmt w:val="bullet"/>
      <w:lvlText w:val="-"/>
      <w:lvlJc w:val="left"/>
      <w:pPr>
        <w:tabs>
          <w:tab w:val="num" w:pos="720"/>
        </w:tabs>
        <w:ind w:left="720" w:hanging="360"/>
      </w:pPr>
      <w:rPr>
        <w:rFonts w:ascii="Traditional Arabic" w:eastAsia="Times New Roman" w:hAnsi="Times New Roman" w:cs="DecoType Naskh Spec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C75072"/>
    <w:multiLevelType w:val="hybridMultilevel"/>
    <w:tmpl w:val="AB323E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52970D3"/>
    <w:multiLevelType w:val="hybridMultilevel"/>
    <w:tmpl w:val="B5F65170"/>
    <w:lvl w:ilvl="0" w:tplc="BD9ED75E">
      <w:start w:val="1"/>
      <w:numFmt w:val="bullet"/>
      <w:lvlText w:val="-"/>
      <w:lvlJc w:val="left"/>
      <w:pPr>
        <w:tabs>
          <w:tab w:val="num" w:pos="720"/>
        </w:tabs>
        <w:ind w:left="720" w:hanging="360"/>
      </w:pPr>
      <w:rPr>
        <w:rFonts w:ascii="Arial" w:eastAsia="Times New Roman" w:hAnsi="Arial" w:cs="DecoType Naskh Spec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781627F"/>
    <w:multiLevelType w:val="hybridMultilevel"/>
    <w:tmpl w:val="3EBAF6F2"/>
    <w:lvl w:ilvl="0" w:tplc="0409000F">
      <w:start w:val="1"/>
      <w:numFmt w:val="decimal"/>
      <w:lvlText w:val="%1."/>
      <w:lvlJc w:val="left"/>
      <w:pPr>
        <w:tabs>
          <w:tab w:val="num" w:pos="720"/>
        </w:tabs>
        <w:ind w:left="720" w:hanging="360"/>
      </w:pPr>
      <w:rPr>
        <w:rFonts w:hint="default"/>
      </w:rPr>
    </w:lvl>
    <w:lvl w:ilvl="1" w:tplc="01EE7A4C">
      <w:start w:val="1"/>
      <w:numFmt w:val="arabicAbjad"/>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6"/>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B80"/>
    <w:rsid w:val="000170AF"/>
    <w:rsid w:val="00043E13"/>
    <w:rsid w:val="00045BEA"/>
    <w:rsid w:val="001D2150"/>
    <w:rsid w:val="003B4B80"/>
    <w:rsid w:val="004F5595"/>
    <w:rsid w:val="00536C5E"/>
    <w:rsid w:val="009605F5"/>
    <w:rsid w:val="00995110"/>
    <w:rsid w:val="009C5915"/>
    <w:rsid w:val="00AF75F3"/>
    <w:rsid w:val="00C34422"/>
    <w:rsid w:val="00D8518B"/>
    <w:rsid w:val="00DA4E92"/>
    <w:rsid w:val="00F328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B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EndnoteText">
    <w:name w:val="endnote text"/>
    <w:basedOn w:val="Normal"/>
    <w:link w:val="EndnoteTextChar"/>
    <w:semiHidden/>
    <w:rsid w:val="003B4B80"/>
    <w:rPr>
      <w:sz w:val="20"/>
      <w:szCs w:val="20"/>
    </w:rPr>
  </w:style>
  <w:style w:type="character" w:customStyle="1" w:styleId="EndnoteTextChar">
    <w:name w:val="Endnote Text Char"/>
    <w:basedOn w:val="DefaultParagraphFont"/>
    <w:link w:val="EndnoteText"/>
    <w:semiHidden/>
    <w:rsid w:val="003B4B80"/>
    <w:rPr>
      <w:rFonts w:ascii="Times New Roman" w:eastAsia="Times New Roman" w:hAnsi="Times New Roman" w:cs="Times New Roman"/>
      <w:sz w:val="20"/>
      <w:szCs w:val="20"/>
    </w:rPr>
  </w:style>
  <w:style w:type="character" w:styleId="EndnoteReference">
    <w:name w:val="endnote reference"/>
    <w:basedOn w:val="DefaultParagraphFont"/>
    <w:semiHidden/>
    <w:rsid w:val="003B4B80"/>
    <w:rPr>
      <w:vertAlign w:val="superscript"/>
    </w:rPr>
  </w:style>
  <w:style w:type="paragraph" w:styleId="FootnoteText">
    <w:name w:val="footnote text"/>
    <w:basedOn w:val="Normal"/>
    <w:link w:val="FootnoteTextChar"/>
    <w:semiHidden/>
    <w:rsid w:val="003B4B80"/>
    <w:rPr>
      <w:sz w:val="20"/>
      <w:szCs w:val="20"/>
    </w:rPr>
  </w:style>
  <w:style w:type="character" w:customStyle="1" w:styleId="FootnoteTextChar">
    <w:name w:val="Footnote Text Char"/>
    <w:basedOn w:val="DefaultParagraphFont"/>
    <w:link w:val="FootnoteText"/>
    <w:semiHidden/>
    <w:rsid w:val="003B4B80"/>
    <w:rPr>
      <w:rFonts w:ascii="Times New Roman" w:eastAsia="Times New Roman" w:hAnsi="Times New Roman" w:cs="Times New Roman"/>
      <w:sz w:val="20"/>
      <w:szCs w:val="20"/>
    </w:rPr>
  </w:style>
  <w:style w:type="paragraph" w:styleId="Footer">
    <w:name w:val="footer"/>
    <w:basedOn w:val="Normal"/>
    <w:link w:val="FooterChar"/>
    <w:uiPriority w:val="99"/>
    <w:rsid w:val="003B4B80"/>
    <w:pPr>
      <w:tabs>
        <w:tab w:val="center" w:pos="4320"/>
        <w:tab w:val="right" w:pos="8640"/>
      </w:tabs>
    </w:pPr>
  </w:style>
  <w:style w:type="character" w:customStyle="1" w:styleId="FooterChar">
    <w:name w:val="Footer Char"/>
    <w:basedOn w:val="DefaultParagraphFont"/>
    <w:link w:val="Footer"/>
    <w:uiPriority w:val="99"/>
    <w:rsid w:val="003B4B80"/>
    <w:rPr>
      <w:rFonts w:ascii="Times New Roman" w:eastAsia="Times New Roman" w:hAnsi="Times New Roman" w:cs="Times New Roman"/>
      <w:sz w:val="24"/>
      <w:szCs w:val="24"/>
    </w:rPr>
  </w:style>
  <w:style w:type="character" w:styleId="PageNumber">
    <w:name w:val="page number"/>
    <w:basedOn w:val="DefaultParagraphFont"/>
    <w:rsid w:val="003B4B80"/>
  </w:style>
  <w:style w:type="paragraph" w:styleId="ListParagraph">
    <w:name w:val="List Paragraph"/>
    <w:basedOn w:val="Normal"/>
    <w:uiPriority w:val="34"/>
    <w:qFormat/>
    <w:rsid w:val="004F5595"/>
    <w:pPr>
      <w:ind w:left="720"/>
      <w:contextualSpacing/>
    </w:pPr>
  </w:style>
  <w:style w:type="paragraph" w:styleId="Header">
    <w:name w:val="header"/>
    <w:basedOn w:val="Normal"/>
    <w:link w:val="HeaderChar"/>
    <w:uiPriority w:val="99"/>
    <w:unhideWhenUsed/>
    <w:rsid w:val="001D2150"/>
    <w:pPr>
      <w:tabs>
        <w:tab w:val="center" w:pos="4320"/>
        <w:tab w:val="right" w:pos="8640"/>
      </w:tabs>
    </w:pPr>
  </w:style>
  <w:style w:type="character" w:customStyle="1" w:styleId="HeaderChar">
    <w:name w:val="Header Char"/>
    <w:basedOn w:val="DefaultParagraphFont"/>
    <w:link w:val="Header"/>
    <w:uiPriority w:val="99"/>
    <w:rsid w:val="001D21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B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EndnoteText">
    <w:name w:val="endnote text"/>
    <w:basedOn w:val="Normal"/>
    <w:link w:val="EndnoteTextChar"/>
    <w:semiHidden/>
    <w:rsid w:val="003B4B80"/>
    <w:rPr>
      <w:sz w:val="20"/>
      <w:szCs w:val="20"/>
    </w:rPr>
  </w:style>
  <w:style w:type="character" w:customStyle="1" w:styleId="EndnoteTextChar">
    <w:name w:val="Endnote Text Char"/>
    <w:basedOn w:val="DefaultParagraphFont"/>
    <w:link w:val="EndnoteText"/>
    <w:semiHidden/>
    <w:rsid w:val="003B4B80"/>
    <w:rPr>
      <w:rFonts w:ascii="Times New Roman" w:eastAsia="Times New Roman" w:hAnsi="Times New Roman" w:cs="Times New Roman"/>
      <w:sz w:val="20"/>
      <w:szCs w:val="20"/>
    </w:rPr>
  </w:style>
  <w:style w:type="character" w:styleId="EndnoteReference">
    <w:name w:val="endnote reference"/>
    <w:basedOn w:val="DefaultParagraphFont"/>
    <w:semiHidden/>
    <w:rsid w:val="003B4B80"/>
    <w:rPr>
      <w:vertAlign w:val="superscript"/>
    </w:rPr>
  </w:style>
  <w:style w:type="paragraph" w:styleId="FootnoteText">
    <w:name w:val="footnote text"/>
    <w:basedOn w:val="Normal"/>
    <w:link w:val="FootnoteTextChar"/>
    <w:semiHidden/>
    <w:rsid w:val="003B4B80"/>
    <w:rPr>
      <w:sz w:val="20"/>
      <w:szCs w:val="20"/>
    </w:rPr>
  </w:style>
  <w:style w:type="character" w:customStyle="1" w:styleId="FootnoteTextChar">
    <w:name w:val="Footnote Text Char"/>
    <w:basedOn w:val="DefaultParagraphFont"/>
    <w:link w:val="FootnoteText"/>
    <w:semiHidden/>
    <w:rsid w:val="003B4B80"/>
    <w:rPr>
      <w:rFonts w:ascii="Times New Roman" w:eastAsia="Times New Roman" w:hAnsi="Times New Roman" w:cs="Times New Roman"/>
      <w:sz w:val="20"/>
      <w:szCs w:val="20"/>
    </w:rPr>
  </w:style>
  <w:style w:type="paragraph" w:styleId="Footer">
    <w:name w:val="footer"/>
    <w:basedOn w:val="Normal"/>
    <w:link w:val="FooterChar"/>
    <w:uiPriority w:val="99"/>
    <w:rsid w:val="003B4B80"/>
    <w:pPr>
      <w:tabs>
        <w:tab w:val="center" w:pos="4320"/>
        <w:tab w:val="right" w:pos="8640"/>
      </w:tabs>
    </w:pPr>
  </w:style>
  <w:style w:type="character" w:customStyle="1" w:styleId="FooterChar">
    <w:name w:val="Footer Char"/>
    <w:basedOn w:val="DefaultParagraphFont"/>
    <w:link w:val="Footer"/>
    <w:uiPriority w:val="99"/>
    <w:rsid w:val="003B4B80"/>
    <w:rPr>
      <w:rFonts w:ascii="Times New Roman" w:eastAsia="Times New Roman" w:hAnsi="Times New Roman" w:cs="Times New Roman"/>
      <w:sz w:val="24"/>
      <w:szCs w:val="24"/>
    </w:rPr>
  </w:style>
  <w:style w:type="character" w:styleId="PageNumber">
    <w:name w:val="page number"/>
    <w:basedOn w:val="DefaultParagraphFont"/>
    <w:rsid w:val="003B4B80"/>
  </w:style>
  <w:style w:type="paragraph" w:styleId="ListParagraph">
    <w:name w:val="List Paragraph"/>
    <w:basedOn w:val="Normal"/>
    <w:uiPriority w:val="34"/>
    <w:qFormat/>
    <w:rsid w:val="004F5595"/>
    <w:pPr>
      <w:ind w:left="720"/>
      <w:contextualSpacing/>
    </w:pPr>
  </w:style>
  <w:style w:type="paragraph" w:styleId="Header">
    <w:name w:val="header"/>
    <w:basedOn w:val="Normal"/>
    <w:link w:val="HeaderChar"/>
    <w:uiPriority w:val="99"/>
    <w:unhideWhenUsed/>
    <w:rsid w:val="001D2150"/>
    <w:pPr>
      <w:tabs>
        <w:tab w:val="center" w:pos="4320"/>
        <w:tab w:val="right" w:pos="8640"/>
      </w:tabs>
    </w:pPr>
  </w:style>
  <w:style w:type="character" w:customStyle="1" w:styleId="HeaderChar">
    <w:name w:val="Header Char"/>
    <w:basedOn w:val="DefaultParagraphFont"/>
    <w:link w:val="Header"/>
    <w:uiPriority w:val="99"/>
    <w:rsid w:val="001D215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15</Pages>
  <Words>2561</Words>
  <Characters>14603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2o1O ;)</Company>
  <LinksUpToDate>false</LinksUpToDate>
  <CharactersWithSpaces>17130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Dooringim</dc:creator>
  <cp:lastModifiedBy>Dooringim</cp:lastModifiedBy>
  <cp:revision>2</cp:revision>
  <dcterms:created xsi:type="dcterms:W3CDTF">2015-05-16T11:18:00Z</dcterms:created>
  <dcterms:modified xsi:type="dcterms:W3CDTF">2015-05-16T13:53:00Z</dcterms:modified>
</cp:coreProperties>
</file>